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CEBBF" w14:textId="77777777" w:rsidR="00273003" w:rsidRPr="00273003" w:rsidRDefault="00273003" w:rsidP="00273003">
      <w:r w:rsidRPr="00273003">
        <w:t xml:space="preserve">WVI Opleidingsplan - </w:t>
      </w:r>
    </w:p>
    <w:p w14:paraId="532CBA7A" w14:textId="77777777" w:rsidR="004437EF" w:rsidRPr="00273003" w:rsidRDefault="00273003" w:rsidP="00273003">
      <w:pPr>
        <w:pStyle w:val="ListParagraph"/>
        <w:numPr>
          <w:ilvl w:val="0"/>
          <w:numId w:val="1"/>
        </w:numPr>
      </w:pPr>
      <w:r w:rsidRPr="00273003">
        <w:rPr>
          <w:b/>
          <w:color w:val="FF0000"/>
        </w:rPr>
        <w:t>een landelijke</w:t>
      </w:r>
      <w:r w:rsidRPr="00273003">
        <w:rPr>
          <w:b/>
          <w:color w:val="FF0000"/>
        </w:rPr>
        <w:t xml:space="preserve"> </w:t>
      </w:r>
      <w:r w:rsidRPr="00273003">
        <w:rPr>
          <w:b/>
          <w:color w:val="FF0000"/>
        </w:rPr>
        <w:t>structuur</w:t>
      </w:r>
      <w:r w:rsidRPr="00273003">
        <w:t xml:space="preserve"> opgezet voor innovatie, kennisdeling en professionalisering</w:t>
      </w:r>
    </w:p>
    <w:p w14:paraId="75FACE15" w14:textId="77777777" w:rsidR="00273003" w:rsidRPr="00273003" w:rsidRDefault="00273003" w:rsidP="00273003">
      <w:pPr>
        <w:pStyle w:val="ListParagraph"/>
      </w:pPr>
    </w:p>
    <w:p w14:paraId="31C104D3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73003">
        <w:t xml:space="preserve">implementatie betreft de inbedding van </w:t>
      </w:r>
      <w:r w:rsidRPr="00273003">
        <w:rPr>
          <w:b/>
          <w:color w:val="FF0000"/>
        </w:rPr>
        <w:t>processen, techniek, kennis en procedures</w:t>
      </w:r>
      <w:r w:rsidRPr="00273003">
        <w:rPr>
          <w:b/>
          <w:color w:val="FF0000"/>
        </w:rPr>
        <w:br/>
      </w:r>
    </w:p>
    <w:p w14:paraId="54E2DC9B" w14:textId="77777777" w:rsidR="00273003" w:rsidRPr="00273003" w:rsidRDefault="00273003" w:rsidP="00273003">
      <w:pPr>
        <w:pStyle w:val="ListParagraph"/>
        <w:numPr>
          <w:ilvl w:val="0"/>
          <w:numId w:val="1"/>
        </w:numPr>
      </w:pPr>
      <w:r w:rsidRPr="00273003">
        <w:rPr>
          <w:b/>
          <w:color w:val="FF0000"/>
        </w:rPr>
        <w:t>V</w:t>
      </w:r>
      <w:r w:rsidRPr="00273003">
        <w:rPr>
          <w:b/>
          <w:color w:val="FF0000"/>
        </w:rPr>
        <w:t>ier</w:t>
      </w:r>
      <w:r w:rsidRPr="00273003">
        <w:rPr>
          <w:b/>
          <w:color w:val="FF0000"/>
        </w:rPr>
        <w:t xml:space="preserve"> </w:t>
      </w:r>
      <w:r w:rsidRPr="00273003">
        <w:rPr>
          <w:b/>
          <w:color w:val="FF0000"/>
        </w:rPr>
        <w:t>opdrachten</w:t>
      </w:r>
      <w:r w:rsidRPr="00273003">
        <w:t>, alle gericht op de voorbereiding van de implementatie van het e-depot. Het gaat om:</w:t>
      </w:r>
    </w:p>
    <w:p w14:paraId="1E360ADD" w14:textId="77777777" w:rsidR="00273003" w:rsidRPr="00273003" w:rsidRDefault="00273003" w:rsidP="0027300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73003">
        <w:t>werkprocessen en procedures;</w:t>
      </w:r>
    </w:p>
    <w:p w14:paraId="1A4B90FC" w14:textId="77777777" w:rsidR="00273003" w:rsidRPr="00273003" w:rsidRDefault="00273003" w:rsidP="0027300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73003">
        <w:t>architectuur;</w:t>
      </w:r>
    </w:p>
    <w:p w14:paraId="6005DF13" w14:textId="77777777" w:rsidR="00273003" w:rsidRPr="00273003" w:rsidRDefault="00273003" w:rsidP="0027300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73003">
        <w:t>metadata (toepassingsprofiel voor provincie, waterschappen en gemeente);</w:t>
      </w:r>
    </w:p>
    <w:p w14:paraId="5C4BB956" w14:textId="77777777" w:rsidR="00273003" w:rsidRPr="00273003" w:rsidRDefault="00273003" w:rsidP="0027300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73003">
        <w:t>personeel en organisatie.</w:t>
      </w:r>
    </w:p>
    <w:p w14:paraId="6012057C" w14:textId="77777777" w:rsidR="00273003" w:rsidRPr="00273003" w:rsidRDefault="00273003" w:rsidP="0027300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73003">
        <w:rPr>
          <w:b/>
          <w:color w:val="FF0000"/>
        </w:rPr>
        <w:t>WAAR IS DE GEBRUIKER???</w:t>
      </w:r>
    </w:p>
    <w:p w14:paraId="2E695FCF" w14:textId="77777777" w:rsidR="00273003" w:rsidRPr="00273003" w:rsidRDefault="00273003" w:rsidP="00273003">
      <w:pPr>
        <w:pStyle w:val="ListParagraph"/>
        <w:rPr>
          <w:b/>
          <w:color w:val="FF0000"/>
        </w:rPr>
      </w:pPr>
    </w:p>
    <w:p w14:paraId="1B8D420C" w14:textId="77777777" w:rsid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 xml:space="preserve">Opdracht 4 heeft </w:t>
      </w:r>
      <w:r w:rsidRPr="00273003">
        <w:rPr>
          <w:color w:val="auto"/>
        </w:rPr>
        <w:t xml:space="preserve">onder andere heeft geleid tot </w:t>
      </w:r>
      <w:r w:rsidRPr="00273003">
        <w:rPr>
          <w:b/>
          <w:color w:val="FF0000"/>
        </w:rPr>
        <w:t>een Handboek Rollen, taken,</w:t>
      </w:r>
      <w:r w:rsidRPr="00273003">
        <w:rPr>
          <w:b/>
          <w:color w:val="FF0000"/>
        </w:rPr>
        <w:t xml:space="preserve"> </w:t>
      </w:r>
      <w:r w:rsidRPr="00273003">
        <w:rPr>
          <w:b/>
          <w:color w:val="FF0000"/>
        </w:rPr>
        <w:t>verantwoordelijkheden en competenties</w:t>
      </w:r>
      <w:r w:rsidRPr="00273003">
        <w:rPr>
          <w:color w:val="auto"/>
        </w:rPr>
        <w:t xml:space="preserve"> en het </w:t>
      </w:r>
      <w:r w:rsidRPr="00273003">
        <w:rPr>
          <w:b/>
          <w:color w:val="FF0000"/>
        </w:rPr>
        <w:t>opleidingsplan</w:t>
      </w:r>
    </w:p>
    <w:p w14:paraId="152B8288" w14:textId="77777777" w:rsidR="00273003" w:rsidRPr="00273003" w:rsidRDefault="00273003" w:rsidP="00273003">
      <w:pPr>
        <w:pStyle w:val="ListParagraph"/>
        <w:rPr>
          <w:color w:val="auto"/>
        </w:rPr>
      </w:pPr>
    </w:p>
    <w:p w14:paraId="413B496A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t xml:space="preserve">Hierin is beschreven welke kennis, vaardigheden en </w:t>
      </w:r>
      <w:r w:rsidRPr="00273003">
        <w:rPr>
          <w:b/>
          <w:color w:val="FF0000"/>
        </w:rPr>
        <w:t>gedragscompetenties</w:t>
      </w:r>
      <w:r w:rsidRPr="00273003">
        <w:t xml:space="preserve"> voor de</w:t>
      </w:r>
      <w:r w:rsidRPr="00273003">
        <w:t xml:space="preserve"> </w:t>
      </w:r>
      <w:r w:rsidRPr="00273003">
        <w:t>diverse rollen en actoren binnen de RHC’s aanwezig dienen te zijn</w:t>
      </w:r>
      <w:r>
        <w:br/>
      </w:r>
    </w:p>
    <w:p w14:paraId="1A7C2F38" w14:textId="77777777" w:rsid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>Dit begint met bewustwording</w:t>
      </w:r>
      <w:r>
        <w:rPr>
          <w:color w:val="auto"/>
        </w:rPr>
        <w:t xml:space="preserve"> (</w:t>
      </w:r>
      <w:r w:rsidRPr="00273003">
        <w:rPr>
          <w:b/>
          <w:color w:val="FF0000"/>
        </w:rPr>
        <w:t>nu pas?</w:t>
      </w:r>
      <w:r>
        <w:rPr>
          <w:color w:val="auto"/>
        </w:rPr>
        <w:t>)</w:t>
      </w:r>
      <w:r w:rsidRPr="00273003">
        <w:rPr>
          <w:color w:val="auto"/>
        </w:rPr>
        <w:t xml:space="preserve"> rondom het thema en het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besef dat we allemaal binnen de context van onze werkzaamheden digitale documenten creëren en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beheren. Het opleidingsplan helpt medewerkers van RHC’s bij deze bewustwording en biedt</w:t>
      </w:r>
      <w:r>
        <w:rPr>
          <w:color w:val="auto"/>
        </w:rPr>
        <w:t xml:space="preserve"> </w:t>
      </w:r>
      <w:r w:rsidRPr="00273003">
        <w:rPr>
          <w:color w:val="auto"/>
        </w:rPr>
        <w:t>handvatten om zich te ontwikkelen.</w:t>
      </w:r>
    </w:p>
    <w:p w14:paraId="292C244D" w14:textId="77777777" w:rsidR="00273003" w:rsidRDefault="00273003" w:rsidP="00273003">
      <w:pPr>
        <w:pStyle w:val="ListParagraph"/>
        <w:rPr>
          <w:color w:val="auto"/>
        </w:rPr>
      </w:pPr>
    </w:p>
    <w:p w14:paraId="1D797737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>Door te kijken naar de leerdoelen, in combinatie met de competenties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die een medewerker al beheerst, kan worden afgewogen welke modules aansluiten op de behoefte</w:t>
      </w:r>
      <w:r>
        <w:rPr>
          <w:color w:val="auto"/>
        </w:rPr>
        <w:t xml:space="preserve"> </w:t>
      </w:r>
      <w:r w:rsidRPr="00273003">
        <w:rPr>
          <w:color w:val="auto"/>
        </w:rPr>
        <w:t>tot ontwikkeling of verandering</w:t>
      </w:r>
      <w:r>
        <w:rPr>
          <w:color w:val="auto"/>
        </w:rPr>
        <w:t xml:space="preserve"> (</w:t>
      </w:r>
      <w:r>
        <w:rPr>
          <w:b/>
          <w:color w:val="auto"/>
        </w:rPr>
        <w:t>Modulair, competentiegericht onderwijs)</w:t>
      </w:r>
      <w:r>
        <w:rPr>
          <w:b/>
          <w:color w:val="auto"/>
        </w:rPr>
        <w:br/>
      </w:r>
    </w:p>
    <w:p w14:paraId="57DF3945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b/>
          <w:color w:val="auto"/>
        </w:rPr>
        <w:t>Uitgangspunten:</w:t>
      </w:r>
    </w:p>
    <w:p w14:paraId="29A4E010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leren doe je je hele leven,</w:t>
      </w:r>
    </w:p>
    <w:p w14:paraId="3534910B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leren en werken zijn geïntegreerd,</w:t>
      </w:r>
    </w:p>
    <w:p w14:paraId="3CAD148F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iedereen is leerling en iedereen is trainer,</w:t>
      </w:r>
    </w:p>
    <w:p w14:paraId="56FA8951" w14:textId="77777777" w:rsid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leren doe je samen met collega’s.</w:t>
      </w:r>
    </w:p>
    <w:p w14:paraId="6472BA52" w14:textId="77777777" w:rsidR="00273003" w:rsidRDefault="00273003" w:rsidP="00273003">
      <w:pPr>
        <w:pStyle w:val="ListParagraph"/>
        <w:rPr>
          <w:color w:val="auto"/>
        </w:rPr>
      </w:pPr>
    </w:p>
    <w:p w14:paraId="2062CA16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proofErr w:type="spellStart"/>
      <w:r w:rsidRPr="00273003">
        <w:rPr>
          <w:color w:val="auto"/>
        </w:rPr>
        <w:t>hands-on</w:t>
      </w:r>
      <w:proofErr w:type="spellEnd"/>
      <w:r w:rsidRPr="00273003">
        <w:rPr>
          <w:color w:val="auto"/>
        </w:rPr>
        <w:t xml:space="preserve"> trainingen; vaardigheden in het bedienen van nieuwe applicaties. Deze trainingen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worden ontwikkeld en verzorgd door de aanbieder van de e-depot functionaliteit en worden</w:t>
      </w:r>
      <w:r>
        <w:rPr>
          <w:color w:val="auto"/>
        </w:rPr>
        <w:t xml:space="preserve"> </w:t>
      </w:r>
      <w:r w:rsidRPr="00273003">
        <w:rPr>
          <w:color w:val="auto"/>
        </w:rPr>
        <w:t>derhalve niet in dit opleidingsplan beschreven.</w:t>
      </w:r>
      <w:r>
        <w:rPr>
          <w:color w:val="auto"/>
        </w:rPr>
        <w:t xml:space="preserve"> </w:t>
      </w:r>
      <w:r>
        <w:rPr>
          <w:b/>
          <w:color w:val="auto"/>
        </w:rPr>
        <w:t xml:space="preserve">(ieder voor zich?) </w:t>
      </w:r>
    </w:p>
    <w:p w14:paraId="08EF6FDC" w14:textId="77777777" w:rsidR="00273003" w:rsidRPr="00273003" w:rsidRDefault="00273003" w:rsidP="00273003">
      <w:pPr>
        <w:pStyle w:val="ListParagraph"/>
        <w:rPr>
          <w:color w:val="auto"/>
        </w:rPr>
      </w:pPr>
    </w:p>
    <w:p w14:paraId="64A2F16F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 xml:space="preserve">De </w:t>
      </w:r>
      <w:proofErr w:type="spellStart"/>
      <w:r w:rsidRPr="00273003">
        <w:rPr>
          <w:color w:val="auto"/>
        </w:rPr>
        <w:t>introdag</w:t>
      </w:r>
      <w:proofErr w:type="spellEnd"/>
      <w:r w:rsidRPr="00273003">
        <w:rPr>
          <w:color w:val="auto"/>
        </w:rPr>
        <w:t xml:space="preserve"> heeft als doel een startpunt te zijn van een proces, om RHC-medewerkers de juiste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houding te laten ontwikkelen</w:t>
      </w:r>
      <w:r>
        <w:rPr>
          <w:color w:val="auto"/>
        </w:rPr>
        <w:t xml:space="preserve"> </w:t>
      </w:r>
      <w:r>
        <w:rPr>
          <w:b/>
          <w:color w:val="auto"/>
        </w:rPr>
        <w:t>(deze is dus niet aanwezig?)</w:t>
      </w:r>
      <w:r w:rsidRPr="00273003">
        <w:rPr>
          <w:color w:val="auto"/>
        </w:rPr>
        <w:t xml:space="preserve"> om vol goede moed en met enthousiasme te werken aan een toekomst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waarin digitaal archief, het e-depot en digitaal werken een belangrijke rol zullen spelen in de</w:t>
      </w:r>
      <w:r>
        <w:rPr>
          <w:color w:val="auto"/>
        </w:rPr>
        <w:t xml:space="preserve"> </w:t>
      </w:r>
      <w:r w:rsidRPr="00273003">
        <w:rPr>
          <w:color w:val="auto"/>
        </w:rPr>
        <w:t>werkzaamheden van alledag</w:t>
      </w:r>
      <w:r>
        <w:rPr>
          <w:color w:val="auto"/>
        </w:rPr>
        <w:br/>
      </w:r>
    </w:p>
    <w:p w14:paraId="5A151719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br w:type="column"/>
      </w:r>
      <w:r w:rsidRPr="00273003">
        <w:rPr>
          <w:color w:val="auto"/>
        </w:rPr>
        <w:lastRenderedPageBreak/>
        <w:t xml:space="preserve">De </w:t>
      </w:r>
      <w:proofErr w:type="spellStart"/>
      <w:r w:rsidRPr="00273003">
        <w:rPr>
          <w:color w:val="auto"/>
        </w:rPr>
        <w:t>introdag</w:t>
      </w:r>
      <w:proofErr w:type="spellEnd"/>
      <w:r w:rsidRPr="00273003">
        <w:rPr>
          <w:color w:val="auto"/>
        </w:rPr>
        <w:t xml:space="preserve"> focust derhalve op:</w:t>
      </w:r>
    </w:p>
    <w:p w14:paraId="762409DF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Bewustwording;</w:t>
      </w:r>
    </w:p>
    <w:p w14:paraId="5F9BB083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Urgentiegevoel;</w:t>
      </w:r>
    </w:p>
    <w:p w14:paraId="72CF7F35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Saamhorigheid;</w:t>
      </w:r>
    </w:p>
    <w:p w14:paraId="1D500A7E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Enthousiasme;</w:t>
      </w:r>
    </w:p>
    <w:p w14:paraId="22AF4F87" w14:textId="77777777" w:rsid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Toekomstgerichtheid.</w:t>
      </w:r>
    </w:p>
    <w:p w14:paraId="3A8ABA05" w14:textId="77777777" w:rsidR="00273003" w:rsidRDefault="00273003" w:rsidP="00273003">
      <w:pPr>
        <w:pStyle w:val="ListParagraph"/>
        <w:rPr>
          <w:color w:val="auto"/>
        </w:rPr>
      </w:pPr>
    </w:p>
    <w:p w14:paraId="770F32B2" w14:textId="77777777" w:rsid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>Nog maar bij weinig collega’s leeft een duidelijk urgentiegevoel ten aanzien van het e-depot</w:t>
      </w:r>
    </w:p>
    <w:p w14:paraId="1D18D18D" w14:textId="77777777" w:rsidR="00273003" w:rsidRDefault="00273003" w:rsidP="00273003">
      <w:pPr>
        <w:pStyle w:val="ListParagraph"/>
        <w:rPr>
          <w:color w:val="auto"/>
        </w:rPr>
      </w:pPr>
    </w:p>
    <w:p w14:paraId="5C2BBD80" w14:textId="77777777" w:rsidR="00273003" w:rsidRP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>Logischerwijs is er een duidelijke relatie tussen de benodigde kennis en vaardigheden. Zo dient een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medewerker conservering kennis te hebben van digitale structuren en dragers, en dient deze de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digitale structuren ook te kunnen analyseren. Hoewel dit niet altijd één op één het geval is, is er in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dit plan voor gekozen om geen aparte theoretische en praktische modules te benoemen. Het gros</w:t>
      </w:r>
      <w:r>
        <w:rPr>
          <w:color w:val="auto"/>
        </w:rPr>
        <w:t xml:space="preserve"> </w:t>
      </w:r>
      <w:r w:rsidRPr="00273003">
        <w:rPr>
          <w:color w:val="auto"/>
        </w:rPr>
        <w:t>van de beschreven modules zal dan ook bestaan uit een kennis- en een vaardighedencomponent.</w:t>
      </w:r>
      <w:r>
        <w:rPr>
          <w:color w:val="auto"/>
        </w:rPr>
        <w:t xml:space="preserve"> </w:t>
      </w:r>
      <w:r>
        <w:rPr>
          <w:b/>
          <w:color w:val="auto"/>
        </w:rPr>
        <w:t xml:space="preserve">(oftewel: zelfde functies blijven maar dan digitaal?) </w:t>
      </w:r>
      <w:r>
        <w:rPr>
          <w:b/>
          <w:color w:val="auto"/>
        </w:rPr>
        <w:br/>
      </w:r>
    </w:p>
    <w:p w14:paraId="1511C8F2" w14:textId="77777777" w:rsid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>Wat opvalt aan de tabellen in de bijlagen is dat actoren in een bepaald werkgebied onafhankelijk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van hun rol (specialist A of specialist B) vaak dezelfde kennis en vaardigheden dienen te hebben. De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 xml:space="preserve">rol die deze actor heeft, geeft daarbij het niveau of de diepgang van de kennis aan. </w:t>
      </w:r>
      <w:r w:rsidRPr="00273003">
        <w:rPr>
          <w:b/>
          <w:color w:val="auto"/>
        </w:rPr>
        <w:t>Dit pleit er voor</w:t>
      </w:r>
      <w:r w:rsidRPr="00273003">
        <w:rPr>
          <w:b/>
          <w:color w:val="auto"/>
        </w:rPr>
        <w:t xml:space="preserve"> </w:t>
      </w:r>
      <w:r w:rsidRPr="00273003">
        <w:rPr>
          <w:b/>
          <w:color w:val="auto"/>
        </w:rPr>
        <w:t>om specialisten en medewerkers (niveau A en B) in basis gezamenlijk op te leiden</w:t>
      </w:r>
      <w:r w:rsidRPr="00273003">
        <w:rPr>
          <w:color w:val="auto"/>
        </w:rPr>
        <w:t>. Voor de</w:t>
      </w:r>
      <w:r>
        <w:rPr>
          <w:color w:val="auto"/>
        </w:rPr>
        <w:t xml:space="preserve"> </w:t>
      </w:r>
      <w:r w:rsidRPr="00273003">
        <w:rPr>
          <w:color w:val="auto"/>
        </w:rPr>
        <w:t>specialisten A kan een verdiepingsmodule worden ontwikkeld.</w:t>
      </w:r>
      <w:r>
        <w:rPr>
          <w:color w:val="auto"/>
        </w:rPr>
        <w:br/>
      </w:r>
    </w:p>
    <w:p w14:paraId="66569F8A" w14:textId="77777777" w:rsid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>een vijftal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gedragscompetenties benoemd dat van groot belang is bij het omgaan met de veranderingen waar</w:t>
      </w:r>
      <w:r>
        <w:rPr>
          <w:color w:val="auto"/>
        </w:rPr>
        <w:t xml:space="preserve"> </w:t>
      </w:r>
      <w:r w:rsidRPr="00273003">
        <w:rPr>
          <w:color w:val="auto"/>
        </w:rPr>
        <w:t>de RHC’s voor staan</w:t>
      </w:r>
      <w:r>
        <w:rPr>
          <w:color w:val="auto"/>
        </w:rPr>
        <w:t>:</w:t>
      </w:r>
    </w:p>
    <w:p w14:paraId="243350BE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Aanpassingsvermogen: Doelmatig blijven handelen door zich aan te passen aan veranderende</w:t>
      </w:r>
      <w:r>
        <w:rPr>
          <w:color w:val="auto"/>
        </w:rPr>
        <w:t xml:space="preserve"> </w:t>
      </w:r>
      <w:r w:rsidRPr="00273003">
        <w:rPr>
          <w:color w:val="auto"/>
        </w:rPr>
        <w:t>omgeving, taken, verantwoordelijkheden en/of mensen.</w:t>
      </w:r>
      <w:r>
        <w:rPr>
          <w:color w:val="auto"/>
        </w:rPr>
        <w:t xml:space="preserve"> </w:t>
      </w:r>
      <w:r>
        <w:rPr>
          <w:b/>
          <w:color w:val="auto"/>
        </w:rPr>
        <w:t>(ook: nieuw soort klanten?)</w:t>
      </w:r>
    </w:p>
    <w:p w14:paraId="5FAD5A2B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Integraal werken: De eigen bijdrage afstemmen op de context van de organisatie, rekening houdend</w:t>
      </w:r>
      <w:r>
        <w:rPr>
          <w:color w:val="auto"/>
        </w:rPr>
        <w:t xml:space="preserve"> </w:t>
      </w:r>
      <w:r w:rsidRPr="00273003">
        <w:rPr>
          <w:color w:val="auto"/>
        </w:rPr>
        <w:t>met diverse invalshoeken, vakgebieden en beleidsterreinen.</w:t>
      </w:r>
      <w:r>
        <w:rPr>
          <w:color w:val="auto"/>
        </w:rPr>
        <w:t xml:space="preserve"> </w:t>
      </w:r>
      <w:r>
        <w:rPr>
          <w:b/>
          <w:color w:val="auto"/>
        </w:rPr>
        <w:t>(ook invalshoek klant?)</w:t>
      </w:r>
    </w:p>
    <w:p w14:paraId="186918F6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Leervermogen: Nieuwe informatie in zich opnemen en deze effectief toepassen.</w:t>
      </w:r>
      <w:r>
        <w:rPr>
          <w:color w:val="auto"/>
        </w:rPr>
        <w:t xml:space="preserve"> </w:t>
      </w:r>
      <w:r>
        <w:rPr>
          <w:b/>
          <w:color w:val="auto"/>
        </w:rPr>
        <w:t xml:space="preserve">(Kon men zonder leervermogen eerst wel functioneren dan? Lijkt mij doelloze eis). </w:t>
      </w:r>
    </w:p>
    <w:p w14:paraId="12EF5A14" w14:textId="77777777" w:rsid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Organisatiesensitiviteit: Onderkennen van invloed en gevolgen van eigen beslissingen of activiteiten</w:t>
      </w:r>
      <w:r>
        <w:rPr>
          <w:color w:val="auto"/>
        </w:rPr>
        <w:t xml:space="preserve"> </w:t>
      </w:r>
      <w:r w:rsidRPr="00273003">
        <w:rPr>
          <w:color w:val="auto"/>
        </w:rPr>
        <w:t>op onderdelen van de organisatie.</w:t>
      </w:r>
    </w:p>
    <w:p w14:paraId="035F7A66" w14:textId="77777777" w:rsid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Voortgangscontrole: Opstellen en uitvoeren van procedures om de voortgang van processen, taken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of activiteiten van medewerkers, als ook de voortgang van eigen functieactiviteiten en</w:t>
      </w:r>
      <w:r>
        <w:rPr>
          <w:color w:val="auto"/>
        </w:rPr>
        <w:t xml:space="preserve"> </w:t>
      </w:r>
      <w:r w:rsidRPr="00273003">
        <w:rPr>
          <w:color w:val="auto"/>
        </w:rPr>
        <w:t>verantwoordelijkheden te bewaken en te controleren.</w:t>
      </w:r>
    </w:p>
    <w:p w14:paraId="00E75953" w14:textId="77777777" w:rsidR="00273003" w:rsidRP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>
        <w:rPr>
          <w:b/>
          <w:color w:val="auto"/>
        </w:rPr>
        <w:t xml:space="preserve">Niets over een nieuwe vorm van klantrelaties? Digitaal mediator tussen data en eindgebruiker? </w:t>
      </w:r>
      <w:proofErr w:type="spellStart"/>
      <w:r>
        <w:rPr>
          <w:b/>
          <w:color w:val="auto"/>
        </w:rPr>
        <w:t>Etc</w:t>
      </w:r>
      <w:proofErr w:type="spellEnd"/>
      <w:r>
        <w:rPr>
          <w:b/>
          <w:color w:val="auto"/>
        </w:rPr>
        <w:t>?</w:t>
      </w:r>
    </w:p>
    <w:p w14:paraId="465A7675" w14:textId="77777777" w:rsidR="00273003" w:rsidRPr="00273003" w:rsidRDefault="00273003" w:rsidP="00273003">
      <w:pPr>
        <w:pStyle w:val="ListParagraph"/>
        <w:ind w:left="1440"/>
        <w:rPr>
          <w:color w:val="auto"/>
        </w:rPr>
      </w:pPr>
    </w:p>
    <w:p w14:paraId="177F2DEA" w14:textId="77777777" w:rsid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br w:type="column"/>
      </w:r>
      <w:r w:rsidRPr="00273003">
        <w:rPr>
          <w:color w:val="auto"/>
        </w:rPr>
        <w:t>Nationaal Archief: project ‘Ontdek je DNA’ (digitaal nationaal archief)</w:t>
      </w:r>
    </w:p>
    <w:p w14:paraId="05112CEC" w14:textId="77777777" w:rsid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e-Context niveau 1 en 2: introductie op nieuwe ontwikkelingen waarmee het archief te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 xml:space="preserve">maken krijgt, nieuwe technologie, de toepassing daarvan en de consequenties voor </w:t>
      </w:r>
      <w:proofErr w:type="spellStart"/>
      <w:r w:rsidRPr="00273003">
        <w:rPr>
          <w:color w:val="auto"/>
        </w:rPr>
        <w:t>eoverheid</w:t>
      </w:r>
      <w:proofErr w:type="spellEnd"/>
      <w:r w:rsidRPr="00273003">
        <w:rPr>
          <w:color w:val="auto"/>
        </w:rPr>
        <w:t xml:space="preserve"> </w:t>
      </w:r>
      <w:r w:rsidRPr="00273003">
        <w:rPr>
          <w:color w:val="auto"/>
        </w:rPr>
        <w:t xml:space="preserve">en -cultuur. Behandeld wordt o.a. </w:t>
      </w:r>
      <w:r w:rsidRPr="00273003">
        <w:rPr>
          <w:b/>
          <w:color w:val="auto"/>
        </w:rPr>
        <w:t>het feit dat de grenzen van overdracht vervagen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en wat dit betekent voor de organisatie en de medewerkers, veranderingen in het records</w:t>
      </w:r>
      <w:r w:rsidRPr="00273003">
        <w:rPr>
          <w:color w:val="auto"/>
        </w:rPr>
        <w:t xml:space="preserve"> </w:t>
      </w:r>
      <w:proofErr w:type="spellStart"/>
      <w:r w:rsidRPr="00273003">
        <w:rPr>
          <w:color w:val="auto"/>
        </w:rPr>
        <w:t>continuüm</w:t>
      </w:r>
      <w:proofErr w:type="spellEnd"/>
      <w:r w:rsidRPr="00273003">
        <w:rPr>
          <w:color w:val="auto"/>
        </w:rPr>
        <w:t xml:space="preserve"> dus. De beide e-Context-modules hebben op bepaalde punten iets weg van een</w:t>
      </w:r>
      <w:r w:rsidRPr="00273003">
        <w:rPr>
          <w:color w:val="auto"/>
        </w:rPr>
        <w:t xml:space="preserve"> </w:t>
      </w:r>
      <w:r w:rsidRPr="00273003">
        <w:rPr>
          <w:b/>
          <w:color w:val="auto"/>
        </w:rPr>
        <w:t>uitgebreide cursus 23 Archiefdingen</w:t>
      </w:r>
      <w:r w:rsidRPr="00273003">
        <w:rPr>
          <w:color w:val="auto"/>
        </w:rPr>
        <w:t xml:space="preserve"> (welke cursus trouwens ook deel uitmaakte van het</w:t>
      </w:r>
      <w:r>
        <w:rPr>
          <w:color w:val="auto"/>
        </w:rPr>
        <w:t xml:space="preserve"> </w:t>
      </w:r>
      <w:proofErr w:type="spellStart"/>
      <w:r w:rsidRPr="00273003">
        <w:rPr>
          <w:color w:val="auto"/>
        </w:rPr>
        <w:t>dNA</w:t>
      </w:r>
      <w:proofErr w:type="spellEnd"/>
      <w:r w:rsidRPr="00273003">
        <w:rPr>
          <w:color w:val="auto"/>
        </w:rPr>
        <w:t>-programma), maar dan breder en dieper van opzet.</w:t>
      </w:r>
    </w:p>
    <w:p w14:paraId="7EF51513" w14:textId="77777777" w:rsidR="00273003" w:rsidRDefault="00273003" w:rsidP="00273003">
      <w:pPr>
        <w:pStyle w:val="ListParagraph"/>
        <w:rPr>
          <w:color w:val="auto"/>
        </w:rPr>
      </w:pPr>
    </w:p>
    <w:p w14:paraId="1B3674B6" w14:textId="77777777" w:rsidR="00273003" w:rsidRDefault="00273003" w:rsidP="00273003">
      <w:pPr>
        <w:pStyle w:val="ListParagraph"/>
        <w:numPr>
          <w:ilvl w:val="0"/>
          <w:numId w:val="1"/>
        </w:numPr>
        <w:rPr>
          <w:color w:val="auto"/>
        </w:rPr>
      </w:pPr>
      <w:r w:rsidRPr="00273003">
        <w:rPr>
          <w:color w:val="auto"/>
        </w:rPr>
        <w:t xml:space="preserve">In het kader van het voorliggende opleidingsplan zijn echter vooral de </w:t>
      </w:r>
      <w:r w:rsidRPr="00273003">
        <w:rPr>
          <w:b/>
          <w:color w:val="auto"/>
        </w:rPr>
        <w:t>beide DOP-cursussen</w:t>
      </w:r>
      <w:r w:rsidRPr="00273003">
        <w:rPr>
          <w:color w:val="auto"/>
        </w:rPr>
        <w:t xml:space="preserve"> (Digitale</w:t>
      </w:r>
      <w:r>
        <w:rPr>
          <w:color w:val="auto"/>
        </w:rPr>
        <w:t xml:space="preserve"> </w:t>
      </w:r>
      <w:r w:rsidRPr="00273003">
        <w:rPr>
          <w:color w:val="auto"/>
        </w:rPr>
        <w:t>Objecten en Processen) van belang:</w:t>
      </w:r>
    </w:p>
    <w:p w14:paraId="132838DF" w14:textId="77777777" w:rsid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>DOP niveau 1: basiscursus die tot doel heeft om de cursisten kennis bij te brengen over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digitale objecten, dragers, bestandsformaten en hen vaardigheden aan te leren in het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omgaan met digitaal materiaal. Tevens is een expliciet leerdoel om de cursisten bewust te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maken van hun eigen rol en verantwoordelijkheid in het proces van digitaal werken en</w:t>
      </w:r>
      <w:r w:rsidRPr="00273003">
        <w:rPr>
          <w:color w:val="auto"/>
        </w:rPr>
        <w:t xml:space="preserve"> </w:t>
      </w:r>
      <w:r w:rsidRPr="00273003">
        <w:rPr>
          <w:color w:val="auto"/>
        </w:rPr>
        <w:t>werken met digitaal materiaal. Inhoud van de lessen:</w:t>
      </w:r>
      <w:r>
        <w:rPr>
          <w:color w:val="auto"/>
        </w:rPr>
        <w:t xml:space="preserve"> </w:t>
      </w:r>
    </w:p>
    <w:p w14:paraId="091A72D2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>verschillen tussen analoog en digitaal (papier versus enen en nullen);</w:t>
      </w:r>
    </w:p>
    <w:p w14:paraId="56B3916B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>soorten fysieke dragers (welke zijn er, hoe herken je ze en wat zijn de kenmerken?)</w:t>
      </w:r>
      <w:r>
        <w:rPr>
          <w:color w:val="auto"/>
        </w:rPr>
        <w:t xml:space="preserve"> </w:t>
      </w:r>
      <w:r w:rsidRPr="00273003">
        <w:rPr>
          <w:color w:val="auto"/>
        </w:rPr>
        <w:t>en de rol daarvan;</w:t>
      </w:r>
    </w:p>
    <w:p w14:paraId="41DE9960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>wijze waarop digitale informatie wordt 'gecodeerd';</w:t>
      </w:r>
    </w:p>
    <w:p w14:paraId="13AEDA1C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>bestandsformaten (open versus gesloten);</w:t>
      </w:r>
    </w:p>
    <w:p w14:paraId="35F21CAB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>probleem van digitale duurzaamheid en mogelijke bewaarstrategieën;</w:t>
      </w:r>
    </w:p>
    <w:p w14:paraId="2442A450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>hoe om te gaan met fysieke dragers in de depots.</w:t>
      </w:r>
    </w:p>
    <w:p w14:paraId="2BA662E3" w14:textId="77777777" w:rsidR="00273003" w:rsidRDefault="00273003" w:rsidP="00273003">
      <w:pPr>
        <w:pStyle w:val="ListParagraph"/>
        <w:numPr>
          <w:ilvl w:val="1"/>
          <w:numId w:val="1"/>
        </w:numPr>
        <w:rPr>
          <w:color w:val="auto"/>
        </w:rPr>
      </w:pPr>
      <w:r w:rsidRPr="00273003">
        <w:rPr>
          <w:color w:val="auto"/>
        </w:rPr>
        <w:t xml:space="preserve">DOP niveau 2: introductie op het beheren, bewaren en </w:t>
      </w:r>
      <w:proofErr w:type="spellStart"/>
      <w:r w:rsidRPr="00273003">
        <w:rPr>
          <w:color w:val="auto"/>
        </w:rPr>
        <w:t>beschikbaarstellen</w:t>
      </w:r>
      <w:proofErr w:type="spellEnd"/>
      <w:r w:rsidRPr="00273003">
        <w:rPr>
          <w:color w:val="auto"/>
        </w:rPr>
        <w:t xml:space="preserve"> van digitale</w:t>
      </w:r>
      <w:r>
        <w:rPr>
          <w:color w:val="auto"/>
        </w:rPr>
        <w:t xml:space="preserve"> </w:t>
      </w:r>
      <w:r w:rsidRPr="00273003">
        <w:rPr>
          <w:color w:val="auto"/>
        </w:rPr>
        <w:t xml:space="preserve">objecten/archiefbescheiden. </w:t>
      </w:r>
    </w:p>
    <w:p w14:paraId="292C5F6E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 xml:space="preserve">Wat zijn de consequenties voor de werkprocessen? </w:t>
      </w:r>
    </w:p>
    <w:p w14:paraId="2655C4F2" w14:textId="77777777" w:rsidR="00273003" w:rsidRDefault="00273003" w:rsidP="00273003">
      <w:pPr>
        <w:pStyle w:val="ListParagraph"/>
        <w:numPr>
          <w:ilvl w:val="2"/>
          <w:numId w:val="1"/>
        </w:numPr>
        <w:rPr>
          <w:color w:val="auto"/>
        </w:rPr>
      </w:pPr>
      <w:r w:rsidRPr="00273003">
        <w:rPr>
          <w:color w:val="auto"/>
        </w:rPr>
        <w:t>Andere</w:t>
      </w:r>
      <w:r>
        <w:rPr>
          <w:color w:val="auto"/>
        </w:rPr>
        <w:t xml:space="preserve"> </w:t>
      </w:r>
      <w:r w:rsidRPr="00273003">
        <w:rPr>
          <w:color w:val="auto"/>
        </w:rPr>
        <w:t>onderwerpen zijn</w:t>
      </w:r>
      <w:r>
        <w:rPr>
          <w:color w:val="auto"/>
        </w:rPr>
        <w:t>;</w:t>
      </w:r>
      <w:r w:rsidRPr="00273003">
        <w:rPr>
          <w:color w:val="auto"/>
        </w:rPr>
        <w:t xml:space="preserve"> </w:t>
      </w:r>
    </w:p>
    <w:p w14:paraId="4371446A" w14:textId="77777777" w:rsidR="00273003" w:rsidRDefault="00273003" w:rsidP="00273003">
      <w:pPr>
        <w:pStyle w:val="ListParagraph"/>
        <w:numPr>
          <w:ilvl w:val="3"/>
          <w:numId w:val="1"/>
        </w:numPr>
        <w:rPr>
          <w:color w:val="auto"/>
        </w:rPr>
      </w:pPr>
      <w:r w:rsidRPr="00273003">
        <w:rPr>
          <w:color w:val="auto"/>
        </w:rPr>
        <w:t>M</w:t>
      </w:r>
      <w:r w:rsidRPr="00273003">
        <w:rPr>
          <w:color w:val="auto"/>
        </w:rPr>
        <w:t>etadata</w:t>
      </w:r>
    </w:p>
    <w:p w14:paraId="6B5A81CE" w14:textId="77777777" w:rsidR="00273003" w:rsidRDefault="00273003" w:rsidP="00273003">
      <w:pPr>
        <w:pStyle w:val="ListParagraph"/>
        <w:numPr>
          <w:ilvl w:val="3"/>
          <w:numId w:val="1"/>
        </w:numPr>
        <w:rPr>
          <w:color w:val="auto"/>
        </w:rPr>
      </w:pPr>
      <w:r>
        <w:rPr>
          <w:color w:val="auto"/>
        </w:rPr>
        <w:t xml:space="preserve">digitaal depot </w:t>
      </w:r>
    </w:p>
    <w:p w14:paraId="0A3299E0" w14:textId="77777777" w:rsidR="00273003" w:rsidRDefault="00273003" w:rsidP="00273003">
      <w:pPr>
        <w:pStyle w:val="ListParagraph"/>
        <w:numPr>
          <w:ilvl w:val="3"/>
          <w:numId w:val="1"/>
        </w:numPr>
        <w:rPr>
          <w:color w:val="auto"/>
        </w:rPr>
      </w:pPr>
      <w:r w:rsidRPr="00273003">
        <w:rPr>
          <w:color w:val="auto"/>
        </w:rPr>
        <w:t>d</w:t>
      </w:r>
      <w:r w:rsidRPr="00273003">
        <w:rPr>
          <w:color w:val="auto"/>
        </w:rPr>
        <w:t>igitaal bewaren en presenteren van</w:t>
      </w:r>
      <w:r>
        <w:rPr>
          <w:color w:val="auto"/>
        </w:rPr>
        <w:t xml:space="preserve"> </w:t>
      </w:r>
      <w:r w:rsidRPr="00273003">
        <w:rPr>
          <w:color w:val="auto"/>
        </w:rPr>
        <w:t xml:space="preserve">informatie. </w:t>
      </w:r>
    </w:p>
    <w:p w14:paraId="5245D85A" w14:textId="77777777" w:rsidR="00273003" w:rsidRDefault="00273003" w:rsidP="00273003">
      <w:pPr>
        <w:pStyle w:val="ListParagraph"/>
        <w:numPr>
          <w:ilvl w:val="3"/>
          <w:numId w:val="1"/>
        </w:numPr>
        <w:rPr>
          <w:color w:val="auto"/>
        </w:rPr>
      </w:pPr>
      <w:r>
        <w:rPr>
          <w:color w:val="auto"/>
        </w:rPr>
        <w:t>D</w:t>
      </w:r>
      <w:r w:rsidRPr="00273003">
        <w:rPr>
          <w:color w:val="auto"/>
        </w:rPr>
        <w:t xml:space="preserve">e hybride omgeving (papier en digitaal naast elkaar) </w:t>
      </w:r>
    </w:p>
    <w:p w14:paraId="5C89D474" w14:textId="77777777" w:rsidR="00273003" w:rsidRDefault="00273003" w:rsidP="00273003">
      <w:pPr>
        <w:pStyle w:val="ListParagraph"/>
        <w:rPr>
          <w:color w:val="auto"/>
        </w:rPr>
      </w:pPr>
    </w:p>
    <w:p w14:paraId="2EA8453A" w14:textId="77777777" w:rsidR="00BD036C" w:rsidRDefault="00BD036C" w:rsidP="00BD036C">
      <w:pPr>
        <w:pStyle w:val="ListParagraph"/>
        <w:numPr>
          <w:ilvl w:val="0"/>
          <w:numId w:val="1"/>
        </w:numPr>
        <w:rPr>
          <w:color w:val="auto"/>
        </w:rPr>
      </w:pPr>
      <w:r w:rsidRPr="00BD036C">
        <w:rPr>
          <w:color w:val="auto"/>
        </w:rPr>
        <w:t xml:space="preserve">Ondanks de afwezigheid van concreet opleidingsmateriaal, is </w:t>
      </w:r>
      <w:r w:rsidRPr="00BD036C">
        <w:rPr>
          <w:b/>
          <w:color w:val="auto"/>
        </w:rPr>
        <w:t>er in Rotterdam wel veel expertise</w:t>
      </w:r>
      <w:r w:rsidRPr="00BD036C">
        <w:rPr>
          <w:b/>
          <w:color w:val="auto"/>
        </w:rPr>
        <w:t xml:space="preserve"> </w:t>
      </w:r>
      <w:r w:rsidRPr="00BD036C">
        <w:rPr>
          <w:b/>
          <w:color w:val="auto"/>
        </w:rPr>
        <w:t>opgebouwd</w:t>
      </w:r>
      <w:r w:rsidRPr="00BD036C">
        <w:rPr>
          <w:color w:val="auto"/>
        </w:rPr>
        <w:t>. Deels is dit rudimentair opgeschreven, veel ervan ligt ook vast in presentaties die op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verschillende plekken zijn gegeven. En ook in het 'archiefschoolschrift' van Peter Horsman en René</w:t>
      </w:r>
      <w:r w:rsidRPr="00BD036C">
        <w:rPr>
          <w:color w:val="auto"/>
        </w:rPr>
        <w:t xml:space="preserve"> </w:t>
      </w:r>
      <w:proofErr w:type="spellStart"/>
      <w:r w:rsidRPr="00BD036C">
        <w:rPr>
          <w:color w:val="auto"/>
        </w:rPr>
        <w:t>Spork</w:t>
      </w:r>
      <w:proofErr w:type="spellEnd"/>
      <w:r w:rsidRPr="00BD036C">
        <w:rPr>
          <w:color w:val="auto"/>
        </w:rPr>
        <w:t>. Die kennis is, volgens voormalig projectleider Jan Kuipers, zeker te gebruiken als er</w:t>
      </w:r>
      <w:r>
        <w:rPr>
          <w:color w:val="auto"/>
        </w:rPr>
        <w:t xml:space="preserve"> </w:t>
      </w:r>
      <w:r w:rsidRPr="00BD036C">
        <w:rPr>
          <w:color w:val="auto"/>
        </w:rPr>
        <w:t>opleidingsmateriaal moet worden gemaakt</w:t>
      </w:r>
    </w:p>
    <w:p w14:paraId="087488CE" w14:textId="77777777" w:rsidR="00BD036C" w:rsidRDefault="00BD036C" w:rsidP="00BD036C">
      <w:pPr>
        <w:pStyle w:val="ListParagraph"/>
        <w:rPr>
          <w:color w:val="auto"/>
        </w:rPr>
      </w:pPr>
    </w:p>
    <w:p w14:paraId="79B10C4B" w14:textId="77777777" w:rsidR="00BD036C" w:rsidRPr="00BD036C" w:rsidRDefault="00BD036C" w:rsidP="00BD036C">
      <w:pPr>
        <w:pStyle w:val="ListParagraph"/>
        <w:numPr>
          <w:ilvl w:val="0"/>
          <w:numId w:val="1"/>
        </w:numPr>
        <w:rPr>
          <w:color w:val="auto"/>
        </w:rPr>
      </w:pPr>
      <w:r w:rsidRPr="00BD036C">
        <w:rPr>
          <w:color w:val="auto"/>
        </w:rPr>
        <w:t>In Amsterdam wordt sinds 2012 een lespakket ontwikkeld voor de eigen medewerkers met als doel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het kennisniveau breed te vergroten.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Op dit moment zijn beschikbaar:</w:t>
      </w:r>
    </w:p>
    <w:p w14:paraId="183181B3" w14:textId="77777777" w:rsidR="00BD036C" w:rsidRDefault="00BD036C" w:rsidP="00BD036C">
      <w:pPr>
        <w:pStyle w:val="ListParagraph"/>
        <w:numPr>
          <w:ilvl w:val="1"/>
          <w:numId w:val="1"/>
        </w:numPr>
        <w:rPr>
          <w:color w:val="auto"/>
        </w:rPr>
      </w:pPr>
      <w:r w:rsidRPr="00BD036C">
        <w:rPr>
          <w:color w:val="auto"/>
        </w:rPr>
        <w:t>Een algemene les over data en metadata, met daarin speciale aandacht voor verschillen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tussen de analoge en digitale werkelijkheid, bijvoorbeeld op het vlak van inhoud, structuur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en vorm van data, van dragers en het </w:t>
      </w:r>
      <w:proofErr w:type="spellStart"/>
      <w:r w:rsidRPr="00BD036C">
        <w:rPr>
          <w:color w:val="auto"/>
        </w:rPr>
        <w:t>beschikbaarstellen</w:t>
      </w:r>
      <w:proofErr w:type="spellEnd"/>
      <w:r w:rsidRPr="00BD036C">
        <w:rPr>
          <w:color w:val="auto"/>
        </w:rPr>
        <w:t xml:space="preserve"> van data. Daarnaast is er aandacht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voor de verschillende vormen van metadata.</w:t>
      </w:r>
    </w:p>
    <w:p w14:paraId="3E496B99" w14:textId="77777777" w:rsidR="00BD036C" w:rsidRDefault="00BD036C" w:rsidP="00BD036C">
      <w:pPr>
        <w:pStyle w:val="ListParagraph"/>
        <w:numPr>
          <w:ilvl w:val="1"/>
          <w:numId w:val="1"/>
        </w:numPr>
        <w:rPr>
          <w:color w:val="auto"/>
        </w:rPr>
      </w:pPr>
      <w:r w:rsidRPr="00BD036C">
        <w:rPr>
          <w:color w:val="auto"/>
        </w:rPr>
        <w:t>Een inleidende les op digitale duurzaamheid, met daarin een begrippenkader (authenticiteit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en het waarborgen daarvan, integriteit en het bewaken daarvan, duurzaamheid, digitale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informatie en risico's) en gaat in op de belangrijkste vraagstukken rondom </w:t>
      </w:r>
      <w:proofErr w:type="spellStart"/>
      <w:r w:rsidRPr="00BD036C">
        <w:rPr>
          <w:b/>
          <w:color w:val="auto"/>
        </w:rPr>
        <w:t>bitstream</w:t>
      </w:r>
      <w:proofErr w:type="spellEnd"/>
      <w:r w:rsidRPr="00BD036C">
        <w:rPr>
          <w:b/>
          <w:color w:val="auto"/>
        </w:rPr>
        <w:t xml:space="preserve"> </w:t>
      </w:r>
      <w:r w:rsidRPr="00BD036C">
        <w:rPr>
          <w:b/>
          <w:color w:val="auto"/>
        </w:rPr>
        <w:t>preservering</w:t>
      </w:r>
      <w:r w:rsidRPr="00BD036C">
        <w:rPr>
          <w:color w:val="auto"/>
        </w:rPr>
        <w:t xml:space="preserve"> </w:t>
      </w:r>
      <w:r w:rsidRPr="00BD036C">
        <w:rPr>
          <w:b/>
          <w:color w:val="auto"/>
        </w:rPr>
        <w:t>(?)</w:t>
      </w:r>
      <w:r w:rsidRPr="00BD036C">
        <w:rPr>
          <w:b/>
          <w:color w:val="auto"/>
        </w:rPr>
        <w:t xml:space="preserve"> </w:t>
      </w:r>
      <w:r w:rsidRPr="00BD036C">
        <w:rPr>
          <w:color w:val="auto"/>
        </w:rPr>
        <w:t xml:space="preserve">(opslag, risico's en oplossingen, migratie, </w:t>
      </w:r>
      <w:proofErr w:type="spellStart"/>
      <w:r w:rsidRPr="00BD036C">
        <w:rPr>
          <w:color w:val="auto"/>
        </w:rPr>
        <w:t>checksums</w:t>
      </w:r>
      <w:proofErr w:type="spellEnd"/>
      <w:r w:rsidRPr="00BD036C">
        <w:rPr>
          <w:color w:val="auto"/>
        </w:rPr>
        <w:t xml:space="preserve"> </w:t>
      </w:r>
      <w:proofErr w:type="spellStart"/>
      <w:r w:rsidRPr="00BD036C">
        <w:rPr>
          <w:color w:val="auto"/>
        </w:rPr>
        <w:t>etcetera</w:t>
      </w:r>
      <w:proofErr w:type="spellEnd"/>
      <w:r w:rsidRPr="00BD036C">
        <w:rPr>
          <w:color w:val="auto"/>
        </w:rPr>
        <w:t>) en logische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preservering (risico's en oplossingen, conversie en emulatie).</w:t>
      </w:r>
    </w:p>
    <w:p w14:paraId="21B18F92" w14:textId="77777777" w:rsidR="00BD036C" w:rsidRDefault="00BD036C" w:rsidP="00BD036C">
      <w:pPr>
        <w:pStyle w:val="ListParagraph"/>
        <w:numPr>
          <w:ilvl w:val="1"/>
          <w:numId w:val="1"/>
        </w:numPr>
        <w:rPr>
          <w:color w:val="auto"/>
        </w:rPr>
      </w:pPr>
      <w:r w:rsidRPr="00BD036C">
        <w:rPr>
          <w:color w:val="auto"/>
        </w:rPr>
        <w:t>Een workshop over grootschalige digitalisering.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Voor het lespakket geldt dat uitgebreide </w:t>
      </w:r>
      <w:proofErr w:type="spellStart"/>
      <w:r w:rsidRPr="00BD036C">
        <w:rPr>
          <w:color w:val="auto"/>
        </w:rPr>
        <w:t>PowerPoint-presentaties</w:t>
      </w:r>
      <w:proofErr w:type="spellEnd"/>
      <w:r w:rsidRPr="00BD036C">
        <w:rPr>
          <w:color w:val="auto"/>
        </w:rPr>
        <w:t xml:space="preserve"> beschikbaar zijn, maar de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bijbehorende teksten zijn niet helemaal uitgeschreven. De lesmethode is vooral gebaseerd op korte</w:t>
      </w:r>
      <w:r>
        <w:rPr>
          <w:color w:val="auto"/>
        </w:rPr>
        <w:t xml:space="preserve"> </w:t>
      </w:r>
      <w:r w:rsidRPr="00BD036C">
        <w:rPr>
          <w:color w:val="auto"/>
        </w:rPr>
        <w:t>uitleg en daarna veel discussie met de groep.</w:t>
      </w:r>
    </w:p>
    <w:p w14:paraId="33DD965A" w14:textId="77777777" w:rsidR="00BD036C" w:rsidRPr="00BD036C" w:rsidRDefault="00BD036C" w:rsidP="00BD036C">
      <w:pPr>
        <w:pStyle w:val="ListParagraph"/>
        <w:rPr>
          <w:color w:val="auto"/>
        </w:rPr>
      </w:pPr>
    </w:p>
    <w:p w14:paraId="56DDCB04" w14:textId="77777777" w:rsidR="00BD036C" w:rsidRDefault="00BD036C" w:rsidP="00BD036C">
      <w:pPr>
        <w:pStyle w:val="ListParagraph"/>
        <w:numPr>
          <w:ilvl w:val="0"/>
          <w:numId w:val="1"/>
        </w:numPr>
        <w:rPr>
          <w:color w:val="auto"/>
        </w:rPr>
      </w:pPr>
      <w:r w:rsidRPr="00BD036C">
        <w:rPr>
          <w:color w:val="auto"/>
        </w:rPr>
        <w:t xml:space="preserve">Wat betreft opleidingen op het vlak van e-depot is </w:t>
      </w:r>
      <w:proofErr w:type="spellStart"/>
      <w:r w:rsidRPr="00BD036C">
        <w:rPr>
          <w:b/>
          <w:color w:val="auto"/>
        </w:rPr>
        <w:t>JustID</w:t>
      </w:r>
      <w:proofErr w:type="spellEnd"/>
      <w:r>
        <w:rPr>
          <w:b/>
          <w:color w:val="auto"/>
        </w:rPr>
        <w:t xml:space="preserve"> (Justitiële Informatiedienst)</w:t>
      </w:r>
      <w:r w:rsidRPr="00BD036C">
        <w:rPr>
          <w:color w:val="auto"/>
        </w:rPr>
        <w:t xml:space="preserve"> bezig met het vormgeven aan een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elektronische leeromgeving, waarvoor inmiddels software is aangekocht. Deze leeromgeving is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echter nog in ontwikkeling en hij is nog niet in gebruik. Cursussen voor de leeromgeving moeten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vervolgens nog door </w:t>
      </w:r>
      <w:proofErr w:type="spellStart"/>
      <w:r w:rsidRPr="00BD036C">
        <w:rPr>
          <w:color w:val="auto"/>
        </w:rPr>
        <w:t>JustID</w:t>
      </w:r>
      <w:proofErr w:type="spellEnd"/>
      <w:r w:rsidRPr="00BD036C">
        <w:rPr>
          <w:color w:val="auto"/>
        </w:rPr>
        <w:t xml:space="preserve"> zelf worden ingevuld en ingericht.</w:t>
      </w:r>
    </w:p>
    <w:p w14:paraId="15C24DDE" w14:textId="77777777" w:rsidR="00BD036C" w:rsidRPr="00BD036C" w:rsidRDefault="00BD036C" w:rsidP="00BD036C">
      <w:pPr>
        <w:pStyle w:val="ListParagraph"/>
        <w:numPr>
          <w:ilvl w:val="1"/>
          <w:numId w:val="1"/>
        </w:numPr>
        <w:rPr>
          <w:color w:val="auto"/>
        </w:rPr>
      </w:pPr>
      <w:r w:rsidRPr="00BD036C">
        <w:rPr>
          <w:color w:val="auto"/>
        </w:rPr>
        <w:t>Doelgroep</w:t>
      </w:r>
    </w:p>
    <w:p w14:paraId="5A320953" w14:textId="77777777" w:rsidR="00BD036C" w:rsidRPr="00BD036C" w:rsidRDefault="00BD036C" w:rsidP="00BD036C">
      <w:pPr>
        <w:pStyle w:val="ListParagraph"/>
        <w:numPr>
          <w:ilvl w:val="0"/>
          <w:numId w:val="1"/>
        </w:numPr>
        <w:rPr>
          <w:color w:val="auto"/>
        </w:rPr>
      </w:pPr>
      <w:r w:rsidRPr="00BD036C">
        <w:rPr>
          <w:color w:val="auto"/>
        </w:rPr>
        <w:t xml:space="preserve">De cursussen waar </w:t>
      </w:r>
      <w:proofErr w:type="spellStart"/>
      <w:r w:rsidRPr="00BD036C">
        <w:rPr>
          <w:color w:val="auto"/>
        </w:rPr>
        <w:t>JustID</w:t>
      </w:r>
      <w:proofErr w:type="spellEnd"/>
      <w:r w:rsidRPr="00BD036C">
        <w:rPr>
          <w:color w:val="auto"/>
        </w:rPr>
        <w:t xml:space="preserve"> zich in eerste instantie op richt, zijn praktisch van aard, maar specifiek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gericht op het leren omgaan met het specifieke e-depot van </w:t>
      </w:r>
      <w:proofErr w:type="spellStart"/>
      <w:r w:rsidRPr="00BD036C">
        <w:rPr>
          <w:color w:val="auto"/>
        </w:rPr>
        <w:t>JustID</w:t>
      </w:r>
      <w:proofErr w:type="spellEnd"/>
      <w:r w:rsidRPr="00BD036C">
        <w:rPr>
          <w:color w:val="auto"/>
        </w:rPr>
        <w:t>. Het uiteindelijk doel is om ook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een cursus te ontwikkelen met algemene kennis over alles wat er bij een e-depot en digitaal werken</w:t>
      </w:r>
      <w:r>
        <w:rPr>
          <w:color w:val="auto"/>
        </w:rPr>
        <w:t xml:space="preserve"> </w:t>
      </w:r>
      <w:r w:rsidRPr="00BD036C">
        <w:rPr>
          <w:color w:val="auto"/>
        </w:rPr>
        <w:t xml:space="preserve">komt kijken. Hier is </w:t>
      </w:r>
      <w:proofErr w:type="spellStart"/>
      <w:r w:rsidRPr="00BD036C">
        <w:rPr>
          <w:color w:val="auto"/>
        </w:rPr>
        <w:t>JustID</w:t>
      </w:r>
      <w:proofErr w:type="spellEnd"/>
      <w:r w:rsidRPr="00BD036C">
        <w:rPr>
          <w:color w:val="auto"/>
        </w:rPr>
        <w:t xml:space="preserve"> echter voorlopig nog niet aan toe.</w:t>
      </w:r>
    </w:p>
    <w:p w14:paraId="4C9CA086" w14:textId="77777777" w:rsidR="00BD036C" w:rsidRPr="00BD036C" w:rsidRDefault="00BD036C" w:rsidP="00BD036C">
      <w:pPr>
        <w:pStyle w:val="ListParagraph"/>
        <w:numPr>
          <w:ilvl w:val="1"/>
          <w:numId w:val="1"/>
        </w:numPr>
        <w:rPr>
          <w:color w:val="auto"/>
        </w:rPr>
      </w:pPr>
      <w:r w:rsidRPr="00BD036C">
        <w:rPr>
          <w:color w:val="auto"/>
        </w:rPr>
        <w:t>Potentie</w:t>
      </w:r>
    </w:p>
    <w:p w14:paraId="2FC719AF" w14:textId="77777777" w:rsidR="00BD036C" w:rsidRDefault="00BD036C" w:rsidP="00BD036C">
      <w:pPr>
        <w:pStyle w:val="ListParagraph"/>
        <w:numPr>
          <w:ilvl w:val="0"/>
          <w:numId w:val="1"/>
        </w:numPr>
        <w:rPr>
          <w:color w:val="auto"/>
        </w:rPr>
      </w:pPr>
      <w:r w:rsidRPr="00BD036C">
        <w:rPr>
          <w:color w:val="auto"/>
        </w:rPr>
        <w:t>Zeer laag</w:t>
      </w:r>
      <w:r>
        <w:rPr>
          <w:color w:val="auto"/>
        </w:rPr>
        <w:t xml:space="preserve"> </w:t>
      </w:r>
      <w:r w:rsidRPr="00BD036C">
        <w:rPr>
          <w:b/>
          <w:color w:val="FF0000"/>
        </w:rPr>
        <w:t>(???)</w:t>
      </w:r>
      <w:r w:rsidRPr="00BD036C">
        <w:rPr>
          <w:color w:val="auto"/>
        </w:rPr>
        <w:t>, alhoewel contact gehouden kan worden om in de gaten te houden hoe de ontwikkeling</w:t>
      </w:r>
      <w:r>
        <w:rPr>
          <w:color w:val="auto"/>
        </w:rPr>
        <w:t xml:space="preserve"> </w:t>
      </w:r>
      <w:r w:rsidRPr="00BD036C">
        <w:rPr>
          <w:color w:val="auto"/>
        </w:rPr>
        <w:t>van de elektronische leeromgeving en cursussen vorderen.</w:t>
      </w:r>
    </w:p>
    <w:p w14:paraId="043122B9" w14:textId="77777777" w:rsidR="00BD036C" w:rsidRDefault="00BD036C" w:rsidP="00BD036C">
      <w:pPr>
        <w:pStyle w:val="ListParagraph"/>
        <w:rPr>
          <w:color w:val="auto"/>
        </w:rPr>
      </w:pPr>
    </w:p>
    <w:p w14:paraId="6C0DC602" w14:textId="77777777" w:rsidR="00BD036C" w:rsidRPr="00BD036C" w:rsidRDefault="00BD036C" w:rsidP="00BD036C">
      <w:pPr>
        <w:pStyle w:val="ListParagraph"/>
        <w:numPr>
          <w:ilvl w:val="0"/>
          <w:numId w:val="1"/>
        </w:numPr>
        <w:rPr>
          <w:color w:val="auto"/>
        </w:rPr>
      </w:pPr>
      <w:r w:rsidRPr="00BD036C">
        <w:rPr>
          <w:color w:val="auto"/>
        </w:rPr>
        <w:t>Archiefschool</w:t>
      </w:r>
    </w:p>
    <w:p w14:paraId="67721A68" w14:textId="77777777" w:rsidR="00BD036C" w:rsidRDefault="00BD036C" w:rsidP="00BD036C">
      <w:pPr>
        <w:pStyle w:val="ListParagraph"/>
        <w:numPr>
          <w:ilvl w:val="1"/>
          <w:numId w:val="1"/>
        </w:numPr>
        <w:rPr>
          <w:color w:val="auto"/>
        </w:rPr>
      </w:pPr>
      <w:r w:rsidRPr="00BD036C">
        <w:rPr>
          <w:color w:val="auto"/>
        </w:rPr>
        <w:t>Beschrijving</w:t>
      </w:r>
      <w:r>
        <w:rPr>
          <w:color w:val="auto"/>
        </w:rPr>
        <w:t>:</w:t>
      </w:r>
    </w:p>
    <w:p w14:paraId="1F6C0656" w14:textId="77777777" w:rsidR="00BD036C" w:rsidRDefault="00BD036C" w:rsidP="00BD036C">
      <w:pPr>
        <w:pStyle w:val="ListParagraph"/>
        <w:numPr>
          <w:ilvl w:val="2"/>
          <w:numId w:val="1"/>
        </w:numPr>
        <w:rPr>
          <w:color w:val="auto"/>
        </w:rPr>
      </w:pPr>
      <w:r w:rsidRPr="00BD036C">
        <w:rPr>
          <w:color w:val="auto"/>
        </w:rPr>
        <w:t xml:space="preserve">De Archiefschool biedt een specifieke cursus aan die aansluit bij het onderwerp digitaal archief, </w:t>
      </w:r>
      <w:proofErr w:type="spellStart"/>
      <w:r w:rsidRPr="00BD036C">
        <w:rPr>
          <w:color w:val="auto"/>
        </w:rPr>
        <w:t>edepot</w:t>
      </w:r>
      <w:proofErr w:type="spellEnd"/>
      <w:r w:rsidRPr="00BD036C">
        <w:rPr>
          <w:color w:val="auto"/>
        </w:rPr>
        <w:t xml:space="preserve"> </w:t>
      </w:r>
      <w:r w:rsidRPr="00BD036C">
        <w:rPr>
          <w:color w:val="auto"/>
        </w:rPr>
        <w:t>en digitaal werken, namelijk de cursus Digitaal Depot. In deze cursus wordt de problematiek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benaderd vanuit de risico's die een organisatie loopt wanneer duurzaamheid van haar digitale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documenten niet afdoende geregeld is. Een oplossing zou kunnen zijn de inrichting van een digitaal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depot. Maar hoe doe je dat? Wat is het precies, welke eisen moet je eraan stellen, wat moet je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regelen, welke oplossingen zijn er? Enzovoort.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De cursus is gebaseerd op </w:t>
      </w:r>
      <w:proofErr w:type="spellStart"/>
      <w:r w:rsidRPr="00BD036C">
        <w:rPr>
          <w:color w:val="auto"/>
        </w:rPr>
        <w:t>learning</w:t>
      </w:r>
      <w:proofErr w:type="spellEnd"/>
      <w:r w:rsidRPr="00BD036C">
        <w:rPr>
          <w:color w:val="auto"/>
        </w:rPr>
        <w:t xml:space="preserve"> </w:t>
      </w:r>
      <w:proofErr w:type="spellStart"/>
      <w:r w:rsidRPr="00BD036C">
        <w:rPr>
          <w:color w:val="auto"/>
        </w:rPr>
        <w:t>by</w:t>
      </w:r>
      <w:proofErr w:type="spellEnd"/>
      <w:r w:rsidRPr="00BD036C">
        <w:rPr>
          <w:color w:val="auto"/>
        </w:rPr>
        <w:t xml:space="preserve"> </w:t>
      </w:r>
      <w:proofErr w:type="spellStart"/>
      <w:r w:rsidRPr="00BD036C">
        <w:rPr>
          <w:color w:val="auto"/>
        </w:rPr>
        <w:t>doing</w:t>
      </w:r>
      <w:proofErr w:type="spellEnd"/>
      <w:r w:rsidRPr="00BD036C">
        <w:rPr>
          <w:color w:val="auto"/>
        </w:rPr>
        <w:t>. De deelnemers stellen een op de eigen organisatie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toegesneden lijst op van risico's en acties die de organisatie moet nemen om de risico's weg te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nemen of te minimaliseren. Cursusdagen hebben de vorm van workshops, waarin de deelnemers aan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de eigen casus werken, op de vierde dag worden instellingen bezocht die bezig zijn met de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implementatie van een digitaal depot, op de vijfde dag volgen presentaties van de resultaten van</w:t>
      </w:r>
      <w:r>
        <w:rPr>
          <w:color w:val="auto"/>
        </w:rPr>
        <w:t xml:space="preserve"> </w:t>
      </w:r>
      <w:r w:rsidRPr="00BD036C">
        <w:rPr>
          <w:color w:val="auto"/>
        </w:rPr>
        <w:t>alle casussen.</w:t>
      </w:r>
    </w:p>
    <w:p w14:paraId="0E3BE311" w14:textId="77777777" w:rsidR="00BD036C" w:rsidRDefault="00BD036C" w:rsidP="00BD036C">
      <w:pPr>
        <w:pStyle w:val="ListParagraph"/>
        <w:ind w:left="2160"/>
        <w:rPr>
          <w:color w:val="auto"/>
        </w:rPr>
      </w:pPr>
    </w:p>
    <w:p w14:paraId="2A82C424" w14:textId="437231F2" w:rsidR="00300DA4" w:rsidRDefault="00BD036C" w:rsidP="00BD036C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br w:type="column"/>
      </w:r>
      <w:r w:rsidRPr="00BD036C">
        <w:rPr>
          <w:color w:val="auto"/>
        </w:rPr>
        <w:t xml:space="preserve">Veel </w:t>
      </w:r>
      <w:r w:rsidRPr="00BD036C">
        <w:rPr>
          <w:b/>
          <w:color w:val="auto"/>
        </w:rPr>
        <w:t>commerciële aanbieders hebben ook cursussen en opleidingen ontwikkeld</w:t>
      </w:r>
      <w:r w:rsidRPr="00BD036C">
        <w:rPr>
          <w:color w:val="auto"/>
        </w:rPr>
        <w:t xml:space="preserve"> die raakvlakken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hebben met het opleidingsaanbod waar wij naar zoeken. Vanuit algemene opleidingsoverzichten en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na het surfen langs vele websites blijkt dat veel van het commerciële aanbod - van eendaagse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trainingen over metadata tot meerdaagse cursussen over digitaal duurzaam archiveren </w:t>
      </w:r>
      <w:r w:rsidRPr="00BD036C">
        <w:rPr>
          <w:color w:val="auto"/>
        </w:rPr>
        <w:t>–</w:t>
      </w:r>
      <w:r w:rsidRPr="00BD036C">
        <w:rPr>
          <w:color w:val="auto"/>
        </w:rPr>
        <w:t xml:space="preserve"> </w:t>
      </w:r>
      <w:r w:rsidRPr="00BD036C">
        <w:rPr>
          <w:b/>
          <w:color w:val="auto"/>
        </w:rPr>
        <w:t>als</w:t>
      </w:r>
      <w:r w:rsidRPr="00BD036C">
        <w:rPr>
          <w:b/>
          <w:color w:val="auto"/>
        </w:rPr>
        <w:t xml:space="preserve"> </w:t>
      </w:r>
      <w:r w:rsidRPr="00BD036C">
        <w:rPr>
          <w:b/>
          <w:color w:val="auto"/>
        </w:rPr>
        <w:t>doelgroep duidelijk leidinggevenden/medewerkers</w:t>
      </w:r>
      <w:r w:rsidRPr="00BD036C">
        <w:rPr>
          <w:color w:val="auto"/>
        </w:rPr>
        <w:t xml:space="preserve"> heeft, die werkzaam zijn in de documentaire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 xml:space="preserve">informatievoorziening en daaraan gerelateerde </w:t>
      </w:r>
      <w:proofErr w:type="spellStart"/>
      <w:r w:rsidRPr="00BD036C">
        <w:rPr>
          <w:color w:val="auto"/>
        </w:rPr>
        <w:t>ict</w:t>
      </w:r>
      <w:proofErr w:type="spellEnd"/>
      <w:r w:rsidRPr="00BD036C">
        <w:rPr>
          <w:color w:val="auto"/>
        </w:rPr>
        <w:t>-functies (al worden meestal ook "archivarissen"</w:t>
      </w:r>
      <w:r w:rsidRPr="00BD036C">
        <w:rPr>
          <w:color w:val="auto"/>
        </w:rPr>
        <w:t xml:space="preserve"> </w:t>
      </w:r>
      <w:r w:rsidRPr="00BD036C">
        <w:rPr>
          <w:color w:val="auto"/>
        </w:rPr>
        <w:t>als doelgroep genoemd). Veel aanbod betreft bijvoorbeeld digitaal zaakgericht werken, records</w:t>
      </w:r>
      <w:r>
        <w:rPr>
          <w:color w:val="auto"/>
        </w:rPr>
        <w:t xml:space="preserve"> </w:t>
      </w:r>
      <w:r w:rsidRPr="00BD036C">
        <w:rPr>
          <w:color w:val="auto"/>
        </w:rPr>
        <w:t>management, digitale dossiervorming en PDF/A als oplossing voor de toekomst.</w:t>
      </w:r>
    </w:p>
    <w:p w14:paraId="172361F8" w14:textId="0EF2FC5D" w:rsidR="00BD036C" w:rsidRDefault="00BD036C" w:rsidP="00300DA4">
      <w:pPr>
        <w:ind w:left="360"/>
        <w:rPr>
          <w:color w:val="auto"/>
        </w:rPr>
      </w:pPr>
    </w:p>
    <w:p w14:paraId="4D34710C" w14:textId="77777777" w:rsidR="00300DA4" w:rsidRDefault="00300DA4" w:rsidP="00300DA4">
      <w:pPr>
        <w:ind w:left="360"/>
        <w:rPr>
          <w:color w:val="auto"/>
        </w:rPr>
      </w:pPr>
    </w:p>
    <w:p w14:paraId="28FAC65A" w14:textId="577DF539" w:rsidR="00300DA4" w:rsidRPr="00300DA4" w:rsidRDefault="00300DA4" w:rsidP="00300DA4">
      <w:pPr>
        <w:ind w:left="360"/>
        <w:rPr>
          <w:b/>
          <w:color w:val="FF0000"/>
        </w:rPr>
      </w:pPr>
      <w:r>
        <w:rPr>
          <w:color w:val="auto"/>
        </w:rPr>
        <w:br w:type="column"/>
      </w:r>
      <w:r>
        <w:rPr>
          <w:noProof/>
          <w:color w:val="auto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E1922D2" wp14:editId="7C09244A">
            <wp:simplePos x="0" y="0"/>
            <wp:positionH relativeFrom="column">
              <wp:posOffset>-1041400</wp:posOffset>
            </wp:positionH>
            <wp:positionV relativeFrom="paragraph">
              <wp:posOffset>4406900</wp:posOffset>
            </wp:positionV>
            <wp:extent cx="7392035" cy="4953000"/>
            <wp:effectExtent l="0" t="0" r="0" b="0"/>
            <wp:wrapTight wrapText="bothSides">
              <wp:wrapPolygon edited="0">
                <wp:start x="0" y="0"/>
                <wp:lineTo x="0" y="21489"/>
                <wp:lineTo x="21524" y="21489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4BC6782" wp14:editId="3556154E">
            <wp:simplePos x="0" y="0"/>
            <wp:positionH relativeFrom="column">
              <wp:posOffset>-1117600</wp:posOffset>
            </wp:positionH>
            <wp:positionV relativeFrom="paragraph">
              <wp:posOffset>-876300</wp:posOffset>
            </wp:positionV>
            <wp:extent cx="7470140" cy="5067300"/>
            <wp:effectExtent l="0" t="0" r="0" b="12700"/>
            <wp:wrapTight wrapText="bothSides">
              <wp:wrapPolygon edited="0">
                <wp:start x="0" y="0"/>
                <wp:lineTo x="0" y="21546"/>
                <wp:lineTo x="21519" y="21546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br w:type="column"/>
      </w:r>
      <w:bookmarkStart w:id="0" w:name="_GoBack"/>
      <w:r w:rsidRPr="00300DA4">
        <w:rPr>
          <w:b/>
          <w:color w:val="FF0000"/>
        </w:rPr>
        <w:t xml:space="preserve">WAAR IS DE (OMGANG MET / ORIENTATIE OP) DE KLANT IN DE </w:t>
      </w:r>
      <w:r w:rsidRPr="00300DA4">
        <w:rPr>
          <w:b/>
          <w:noProof/>
          <w:color w:val="FF000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CE1B212" wp14:editId="3D91BE23">
            <wp:simplePos x="0" y="0"/>
            <wp:positionH relativeFrom="column">
              <wp:posOffset>-927100</wp:posOffset>
            </wp:positionH>
            <wp:positionV relativeFrom="paragraph">
              <wp:posOffset>469900</wp:posOffset>
            </wp:positionV>
            <wp:extent cx="7226300" cy="2920365"/>
            <wp:effectExtent l="0" t="0" r="1270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DA4">
        <w:rPr>
          <w:b/>
          <w:color w:val="FF0000"/>
        </w:rPr>
        <w:t>OVERZICHTEN??</w:t>
      </w:r>
      <w:bookmarkEnd w:id="0"/>
    </w:p>
    <w:p w14:paraId="792494E3" w14:textId="2C3DBCBA" w:rsidR="00300DA4" w:rsidRDefault="00300DA4" w:rsidP="00300DA4">
      <w:pPr>
        <w:ind w:left="360"/>
        <w:rPr>
          <w:b/>
          <w:color w:val="auto"/>
        </w:rPr>
      </w:pPr>
    </w:p>
    <w:p w14:paraId="1B381EA2" w14:textId="107B1494" w:rsidR="00300DA4" w:rsidRPr="00300DA4" w:rsidRDefault="00300DA4" w:rsidP="00300DA4">
      <w:pPr>
        <w:ind w:left="360"/>
        <w:rPr>
          <w:b/>
          <w:color w:val="FF0000"/>
        </w:rPr>
      </w:pPr>
      <w:r w:rsidRPr="00300DA4">
        <w:rPr>
          <w:b/>
          <w:color w:val="FF0000"/>
        </w:rPr>
        <w:t>Specialist C behoeft geheel geen leervermogen? Fase 3 van o.a. aanpassingsvermogen is voor niemand vereiste? Heel vreemd overzicht..</w:t>
      </w:r>
    </w:p>
    <w:sectPr w:rsidR="00300DA4" w:rsidRPr="00300DA4" w:rsidSect="004437E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5A4A"/>
    <w:multiLevelType w:val="hybridMultilevel"/>
    <w:tmpl w:val="F77AB96E"/>
    <w:lvl w:ilvl="0" w:tplc="4CD271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013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01884"/>
    <w:multiLevelType w:val="hybridMultilevel"/>
    <w:tmpl w:val="3E92DD26"/>
    <w:lvl w:ilvl="0" w:tplc="1DC45DB4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b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03"/>
    <w:rsid w:val="00095B7C"/>
    <w:rsid w:val="00192237"/>
    <w:rsid w:val="00273003"/>
    <w:rsid w:val="002A2AE6"/>
    <w:rsid w:val="00300DA4"/>
    <w:rsid w:val="004437EF"/>
    <w:rsid w:val="00697A67"/>
    <w:rsid w:val="00AF2A0B"/>
    <w:rsid w:val="00BD036C"/>
    <w:rsid w:val="00D86766"/>
    <w:rsid w:val="00F30BC8"/>
    <w:rsid w:val="00FB2E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6AB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DA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color w:val="10131A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DA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1595</Words>
  <Characters>9098</Characters>
  <Application>Microsoft Macintosh Word</Application>
  <DocSecurity>0</DocSecurity>
  <Lines>75</Lines>
  <Paragraphs>21</Paragraphs>
  <ScaleCrop>false</ScaleCrop>
  <Company>Avans Hogeschool</Company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Bergmans</dc:creator>
  <cp:keywords/>
  <dc:description/>
  <cp:lastModifiedBy>Sjoerd Bergmans</cp:lastModifiedBy>
  <cp:revision>3</cp:revision>
  <dcterms:created xsi:type="dcterms:W3CDTF">2014-10-27T10:48:00Z</dcterms:created>
  <dcterms:modified xsi:type="dcterms:W3CDTF">2014-10-27T13:07:00Z</dcterms:modified>
</cp:coreProperties>
</file>