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ind w:firstLine="72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SZZ – otázka B4</w:t>
      </w:r>
    </w:p>
    <w:p w:rsidR="00000000" w:rsidDel="00000000" w:rsidP="00000000" w:rsidRDefault="00000000" w:rsidRPr="00000000" w14:paraId="00000002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Chromozomy a lidský karyotyp. Buněčný cyklus, mitóza. Pohlavní rozmnožování, meióza, genová vazba. Zákonitosti přenosu geneticky podmíněných znaků z rodičů na potomky. Monogenní a multifaktoriální znaky.</w:t>
      </w:r>
    </w:p>
    <w:p w:rsidR="00000000" w:rsidDel="00000000" w:rsidP="00000000" w:rsidRDefault="00000000" w:rsidRPr="00000000" w14:paraId="00000003">
      <w:pPr>
        <w:pageBreakBefore w:val="0"/>
        <w:rPr>
          <w:rFonts w:ascii="Times New Roman" w:cs="Times New Roman" w:eastAsia="Times New Roman" w:hAnsi="Times New Roman"/>
          <w:color w:val="0563c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Prezentace Základy cytogenetiky:</w:t>
        <w:br w:type="textWrapping"/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18"/>
            <w:szCs w:val="18"/>
            <w:u w:val="single"/>
            <w:rtl w:val="0"/>
          </w:rPr>
          <w:t xml:space="preserve">https://moodle.fel.cvut.cz/pluginfile.php/224756/mod_resource/content/2/Zaklady_cytogenetiky_I_FEL_2019.pdf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Prezentace Základy klinické genetiky:</w:t>
        <w:br w:type="textWrapping"/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18"/>
            <w:szCs w:val="18"/>
            <w:u w:val="single"/>
            <w:rtl w:val="0"/>
          </w:rPr>
          <w:t xml:space="preserve">https://moodle.fel.cvut.cz/pluginfile.php/226008/mod_resource/content/1/Klinicka_genetika_FEL_2019.pdf</w:t>
        </w:r>
      </w:hyperlink>
      <w:r w:rsidDel="00000000" w:rsidR="00000000" w:rsidRPr="00000000">
        <w:rPr>
          <w:rFonts w:ascii="Times New Roman" w:cs="Times New Roman" w:eastAsia="Times New Roman" w:hAnsi="Times New Roman"/>
          <w:i w:val="1"/>
          <w:sz w:val="18"/>
          <w:szCs w:val="1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Chromozomy a lidský karyotyp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chromozomy obsahují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DNA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(deoxyribonukleová kyselina)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kóduje informace pro tvorbu proteinů (DNA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transkripce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RNA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translace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protein)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základem je cukrfosfátový polynukleotidový řetězec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4572000</wp:posOffset>
            </wp:positionH>
            <wp:positionV relativeFrom="paragraph">
              <wp:posOffset>83154</wp:posOffset>
            </wp:positionV>
            <wp:extent cx="1972310" cy="1645920"/>
            <wp:effectExtent b="0" l="0" r="0" t="0"/>
            <wp:wrapSquare wrapText="bothSides" distB="0" distT="0" distL="114300" distR="11430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2310" cy="16459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nukleotid = základní stavební jednotka DNA/RNA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báze: adenin, guanin, cytosin, thymin, uracil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struktura dvojšroubovice, komplementární báze tvoří páry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denaturací (např. zvýšením teploty, chemickými látkami) se rozvolní vazby a vzniká ssDNA (single stranded DNA)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 genetického materiálu se </w:t>
      </w:r>
      <w:sdt>
        <w:sdtPr>
          <w:tag w:val="goog_rdk_0"/>
        </w:sdtPr>
        <w:sdtContent>
          <w:commentRangeStart w:id="0"/>
        </w:sdtContent>
      </w:sdt>
      <w:sdt>
        <w:sdtPr>
          <w:tag w:val="goog_rdk_1"/>
        </w:sdtPr>
        <w:sdtContent>
          <w:commentRangeStart w:id="1"/>
        </w:sdtContent>
      </w:sdt>
      <w:sdt>
        <w:sdtPr>
          <w:tag w:val="goog_rdk_2"/>
        </w:sdtPr>
        <w:sdtContent>
          <w:commentRangeStart w:id="2"/>
        </w:sdtContent>
      </w:sdt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precipituje alkoholem, dále se izoluje a analyzuje, a to elektroforézou</w:t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sekvenování = stanovení sekvence nukleotidů v DNA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chromozom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struktura v jádře buňky, která nese genetickou informaci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tvoří jadernou hmotu (chromatin)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euchromatin – řidší, vlákna více rozvolněná, lepší pro transkripci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heterochromatin – hustější, malá transkripční aktivita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4872355</wp:posOffset>
            </wp:positionH>
            <wp:positionV relativeFrom="paragraph">
              <wp:posOffset>179070</wp:posOffset>
            </wp:positionV>
            <wp:extent cx="1552575" cy="1129665"/>
            <wp:effectExtent b="0" l="0" r="0" t="0"/>
            <wp:wrapSquare wrapText="bothSides" distB="0" distT="0" distL="114300" distR="114300"/>
            <wp:docPr id="3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1296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chromozomy tvoří DNA dvoušroubovice namotaná na histony (H2A+H2B+H3+H4), histon H1 drží klubko pohromadě, klubko DNA a histonu tvoří nukleozom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strukturu nukleozomového vlákna udržují scaffold proteiny (nehistonové)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stavba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centromera – centrální část, slouží pro připojení vláken dělicího vřeténka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krátké (p) a dlouhé (q) raménko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telomery – koncové části ramének, chrání chromozom, obsahují repetitivní sekvence DNA, zabraňují translokacím, při každém dělení se zkracují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chromatida – vlákno chromozomu, před dělením má 2 chromatidy, 1 chromatida odpovídá 1 molekule DNA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120007</wp:posOffset>
            </wp:positionV>
            <wp:extent cx="3533775" cy="2198370"/>
            <wp:effectExtent b="0" l="0" r="0" t="0"/>
            <wp:wrapTopAndBottom distB="0" distT="0"/>
            <wp:docPr id="2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1983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3629025</wp:posOffset>
            </wp:positionH>
            <wp:positionV relativeFrom="paragraph">
              <wp:posOffset>605782</wp:posOffset>
            </wp:positionV>
            <wp:extent cx="2960812" cy="1457325"/>
            <wp:effectExtent b="0" l="0" r="0" t="0"/>
            <wp:wrapSquare wrapText="bothSides" distB="0" distT="0" distL="114300" distR="114300"/>
            <wp:docPr id="2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0812" cy="1457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typy chromozomů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 člověka: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3476625</wp:posOffset>
            </wp:positionH>
            <wp:positionV relativeFrom="paragraph">
              <wp:posOffset>0</wp:posOffset>
            </wp:positionV>
            <wp:extent cx="3270885" cy="2343150"/>
            <wp:effectExtent b="0" l="0" r="0" t="0"/>
            <wp:wrapSquare wrapText="bothSides" distB="0" distT="0" distL="114300" distR="114300"/>
            <wp:docPr id="2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0885" cy="2343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metacentrický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submetacentrický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akrocentrický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akrocentrický má satelity neboli organizátory jadérka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další: holocentrický, telocentrický </w:t>
        <w:br w:type="textWrapping"/>
        <w:t xml:space="preserve">– u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člověka se nevyskytují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karyotyp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soubor všech chromozomů v jádře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23 párů (46 chromozomů)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22 párů autozomů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pár pohlavních chromozomů, tzv. gonozomů (chromozomy X a Y)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rozdíly mezi pohlavními chromozomy u muže a ženy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 muže XY (heterogametní), u ženy XX (homogametní)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 … submetacentrický, Y … akrocentrický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 žen se jeden chromozom X inaktivuje a tvoří Barrovo tělísko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přítomnost Barrova tělíska se používá pro označení pohlaví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ženy mají v těle mozaiku buněk, kde je náhodně inaktivován jeden nebo druhý chromozom X; kvůli tomu se můžou různě projevovat X-vázané choroby u žen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karyogram: schéma se seřazenými a označenými chromozomy daného jedince </w:t>
      </w:r>
    </w:p>
    <w:p w:rsidR="00000000" w:rsidDel="00000000" w:rsidP="00000000" w:rsidRDefault="00000000" w:rsidRPr="00000000" w14:paraId="00000031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-55879</wp:posOffset>
            </wp:positionH>
            <wp:positionV relativeFrom="paragraph">
              <wp:posOffset>0</wp:posOffset>
            </wp:positionV>
            <wp:extent cx="4251960" cy="3219450"/>
            <wp:effectExtent b="0" l="0" r="0" t="0"/>
            <wp:wrapSquare wrapText="bothSides" distB="0" distT="0" distL="114300" distR="114300"/>
            <wp:docPr id="3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3219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4392930</wp:posOffset>
            </wp:positionH>
            <wp:positionV relativeFrom="paragraph">
              <wp:posOffset>134620</wp:posOffset>
            </wp:positionV>
            <wp:extent cx="2493645" cy="3609340"/>
            <wp:effectExtent b="0" l="0" r="0" t="0"/>
            <wp:wrapSquare wrapText="bothSides" distB="0" distT="0" distL="114300" distR="114300"/>
            <wp:docPr id="3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36093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pageBreakBefore w:val="0"/>
        <w:rPr>
          <w:rFonts w:ascii="Times New Roman" w:cs="Times New Roman" w:eastAsia="Times New Roman" w:hAnsi="Times New Roman"/>
          <w:color w:val="2f5496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Buněčný cyklus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buněčný cyklus označuje cyklus, kterým buňka opakovaně prochází a při němž dochází k jejímu růstu, replikace jaderné DNA a dělení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fáze cyklu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G1 – oprava DNA po dělení, syntéza komponentů potřebných pro replikaci DNA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 – replikace jaderné DNA (chromatidy chromozomů se zdvojí)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G2 – příprava na mitózu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 – mitóza, buněčné dělení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G0 – diferenciace, zastavení dělení; z něj ale může buňka přejít zpět do fáze G1, ať už kvůli regeneraci tkáně nebo kvůli rakovinovému bujení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kontrolní body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-342899</wp:posOffset>
            </wp:positionH>
            <wp:positionV relativeFrom="paragraph">
              <wp:posOffset>24757</wp:posOffset>
            </wp:positionV>
            <wp:extent cx="3812540" cy="2762250"/>
            <wp:effectExtent b="0" l="0" r="0" t="0"/>
            <wp:wrapTopAndBottom distB="0" dist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2540" cy="2762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3467100</wp:posOffset>
            </wp:positionH>
            <wp:positionV relativeFrom="paragraph">
              <wp:posOffset>224782</wp:posOffset>
            </wp:positionV>
            <wp:extent cx="3609975" cy="2019300"/>
            <wp:effectExtent b="0" l="0" r="0" t="0"/>
            <wp:wrapSquare wrapText="bothSides" distB="0" distT="0" distL="114300" distR="114300"/>
            <wp:docPr id="3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019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G1 – kontrola poškození DNA, dostatku živin a zda je buňka dostatečně velká, při neopravitelných chybách může nastat řízená buněčná smrt – apoptóza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G2 – kontrola, zda správně proběhla replikace DNA a buňka je dost velká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 – kontrola, zda je správně připojeno vlákno dělicího vřeténka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možná i v S fázi – kontrola stavu DNA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řízení buněčného cyklu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střídání cyklinů a cyklin-dependentních kináz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cykliny – proteiny, které se vylučují v průběhu buněčného cyklu (různé podle fáze)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cyklin-dependentní kináza potřebuje jako svou podjednotku cyklin, po jeho připojení štěpí ATP, čímž fosforyluje další proteiny a mění jejich aktivitu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aktivita cyklin-dependentní kinázy je ukončena odpojením cyklinu nebo působením specifického inhibitoru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protoonkogeny – stimulují buněčný cyklus, vytvářejí růstové faktory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tumor supresorové geny – zastavují buněčný cyklus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inhibitory cyklin-dependentních kináz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tumor supresorový protein Rb1 – zabraňuje transkripci genů angažovaných v S fázi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mutátorové geny – zajišťují reparaci DNA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poškození genů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řídících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buněčný cyklus může vést ke vzniku nádoru</w:t>
        <w:tab/>
      </w:r>
    </w:p>
    <w:p w:rsidR="00000000" w:rsidDel="00000000" w:rsidP="00000000" w:rsidRDefault="00000000" w:rsidRPr="00000000" w14:paraId="0000004B">
      <w:pPr>
        <w:pageBreakBefore w:val="0"/>
        <w:rPr>
          <w:rFonts w:ascii="Times New Roman" w:cs="Times New Roman" w:eastAsia="Times New Roman" w:hAnsi="Times New Roman"/>
          <w:color w:val="2f5496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Mitóza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jaderné dělení: 1 diploidní buňka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2 diploidní buňky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 fáze buněčného cyklu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dceřiné buňky nesou identickou genetickou informaci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interfáze – období mezi buněčnými děleními, jádro má chromatinovou strukturu (chromozomy jsou rozvolněné a nejsou viditelné)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profáze – chromozomy se kondenzují do dvouchromatidové struktury, rozvolňuje se jaderný obal, dělí se centriola a na ni se navazují vlákna dělicího vřeténka tvořená tubulinem, na konci se jádro rozpadá a centrioly se posouvají k pólům buňky, dělicí vřeténko se připojuje k centromerám chromozomů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metafáze – chromozomy se řadí v ekvatoriální rovině buňky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anafáze – chromozomy se rozdělí na chromatidy, každá ustupuje na dělicím vřeténku k jednomu pólu buňky, každá dceřiná buňka tedy bude mít jednu chromatidu se shodnou genetickou informací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telofáze – u pólů se dekondenzují chromozomy a vytváří se kolem nich jaderný obal, ekvatoriální buňku začíná stahovat/zaškrcovat proteinový prstenec, který buňku rozdělí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cytokineze – dceřinné buňky se úplně oddělí</w:t>
      </w:r>
    </w:p>
    <w:p w:rsidR="00000000" w:rsidDel="00000000" w:rsidP="00000000" w:rsidRDefault="00000000" w:rsidRPr="00000000" w14:paraId="00000056">
      <w:pPr>
        <w:pageBreakBefore w:val="0"/>
        <w:rPr>
          <w:rFonts w:ascii="Times New Roman" w:cs="Times New Roman" w:eastAsia="Times New Roman" w:hAnsi="Times New Roman"/>
          <w:color w:val="2f5496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533400</wp:posOffset>
            </wp:positionH>
            <wp:positionV relativeFrom="paragraph">
              <wp:posOffset>48229</wp:posOffset>
            </wp:positionV>
            <wp:extent cx="5486400" cy="6222365"/>
            <wp:effectExtent b="0" l="0" r="0" t="0"/>
            <wp:wrapSquare wrapText="bothSides" distB="0" distT="0" distL="114300" distR="114300"/>
            <wp:docPr id="2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223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pStyle w:val="Heading2"/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Pohlavní rozmnožování, meióza, genová vazba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meióza: 1 diploidní buňka (2n)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4 haploidní buňky (1n)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oplodnění: 2× 1 haploidní buňka (1n)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1 diploidní buňka (2n)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dělení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pohlavní rozmnožování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kombinací rodičovských vloh vznikají nové formy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variabilita (umožňuje evoluci)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meióza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meiotické dělení – redukční, z 1 diploidní buňky (2n) vznikají 2 haploidní (1n)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meiotické dělení – ekvační, „zdvojení“ haploidních buňek (1× 1n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2× 1n)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genová vazba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533400</wp:posOffset>
            </wp:positionH>
            <wp:positionV relativeFrom="paragraph">
              <wp:posOffset>47625</wp:posOffset>
            </wp:positionV>
            <wp:extent cx="6171565" cy="3733800"/>
            <wp:effectExtent b="0" l="0" r="0" t="0"/>
            <wp:wrapSquare wrapText="bothSides" distB="0" distT="0" distL="114300" distR="114300"/>
            <wp:docPr id="3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733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geny na jednom chromozomu jsou vzájemně vázané, soubor genů na jednom chromozomu tvoří vazbovou skupinu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při crossing-overu (viz níže) vznikají gamety s rekombinovanými i nerekombinovanými genotypy, pravděpodobnost crossing-overu klesá se vzdáleností obou sledovaných genů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síla vazby odpovídá vzdálenosti mezi geny, určuje se Morganovým číslem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Morganovo číslo = počet rekombinovaných gamet / počet všech gamet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vlivem genové vazby se některé alely dědí častěji než by vyplývalo z pravidla o volné kombinovatelnosti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meiotické dělení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profáze I – přikládají se k sobě homologické (odpovídající) chromozomy, probíhá u nich crossing-over – vzájemná výměna částí nesesterských chromatid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metafáze I – chromozomy se v ekvatoriální rovině navazují na dělicí vřeténko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anafáze I – rozchází se homologické chromozomy (nikoliv chromatidy)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telofáze I, cytokineze – chromozom doputují k opačným pólům, tvoří se nový jaderný obal, buňky se oddělují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meiotické dělení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profáze II – chromozomy se kondenzují, rozvolňuje se jaderný obal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metafáze II – chromozomy připojené na dělicí vřeténko se řadí v ekvatoriální rovině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anafáze II – oddělují se chromatidy a odstupují k opačným pólům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telofáze II, cytokineze – chromatidy doputují k opačným pólům, oddělení buněk, tvorba jaderného obalu, despiralizace chromozomů</w:t>
      </w:r>
    </w:p>
    <w:p w:rsidR="00000000" w:rsidDel="00000000" w:rsidP="00000000" w:rsidRDefault="00000000" w:rsidRPr="00000000" w14:paraId="0000006F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spermatogeneze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 jedné 2n buňky vznikají 4 buňky 1n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primární spermatocyt (2n)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1. meiotické dělení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2 sekundární spermatocyty (1n)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2. meiotické dělení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4 spermie (1n)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začíná v pubertě, může trvat do pozdního věku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oogeneze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 jedné 2n buňky vznikají 4 buňky 1n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primární oocyt (2n)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1. meiotické dělení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1 sekundární oocyt (1n), 1 pólové tělísko (1n), které se dále nedělí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2. meiotické dělení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vajíčko (1n) + druhé pólové tělísko (1n)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už prenatálně vstupují primární oocyty do prvního meiotického dělení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druhé meiotické dělení začíná až v pubertě a je dokončeno až po proniknutí spermie, vzniká při něm funkční vajíčko; bez spermie zaniká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190500</wp:posOffset>
            </wp:positionH>
            <wp:positionV relativeFrom="paragraph">
              <wp:posOffset>362593</wp:posOffset>
            </wp:positionV>
            <wp:extent cx="6043295" cy="4800600"/>
            <wp:effectExtent b="0" l="0" r="0" t="0"/>
            <wp:wrapSquare wrapText="bothSides" distB="0" distT="0" distL="114300" distR="114300"/>
            <wp:docPr id="2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4189"/>
                    <a:stretch>
                      <a:fillRect/>
                    </a:stretch>
                  </pic:blipFill>
                  <pic:spPr>
                    <a:xfrm>
                      <a:off x="0" y="0"/>
                      <a:ext cx="6043295" cy="4800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9">
      <w:pPr>
        <w:pageBreakBefore w:val="0"/>
        <w:rPr>
          <w:rFonts w:ascii="Times New Roman" w:cs="Times New Roman" w:eastAsia="Times New Roman" w:hAnsi="Times New Roman"/>
          <w:color w:val="2f5496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1317788</wp:posOffset>
            </wp:positionH>
            <wp:positionV relativeFrom="paragraph">
              <wp:posOffset>4714232</wp:posOffset>
            </wp:positionV>
            <wp:extent cx="4010025" cy="2745105"/>
            <wp:effectExtent b="0" l="0" r="0" t="0"/>
            <wp:wrapSquare wrapText="bothSides" distB="0" distT="0" distL="114300" distR="114300"/>
            <wp:docPr id="2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7451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A">
      <w:pPr>
        <w:pStyle w:val="Heading2"/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Přenos geneticky podmíněných znaků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dědičnost – schopnost organismů předávat si určité znaky z generace na generaci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Gregor Johann Mendel – křížením odrůd hrachu zjistil, že každý znak je určen párem vloh, rozlišil dominantní a recesivní vlohu, nazýván zakladatelem genetiky (19. století)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4683450</wp:posOffset>
            </wp:positionH>
            <wp:positionV relativeFrom="paragraph">
              <wp:posOffset>323850</wp:posOffset>
            </wp:positionV>
            <wp:extent cx="1958340" cy="3003550"/>
            <wp:effectExtent b="0" l="0" r="0" t="0"/>
            <wp:wrapSquare wrapText="bothSides" distB="0" distT="0" distL="114300" distR="11430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3003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Francis Galton – zkoumal dědičnost u člověka, úvahy o zkvalitnění genetické výbavy populace zamezením degenerace – eugenika (šlechtění zdravého člověka)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klinická genetika – zabývá se geneticky podmíněnými patologickými změnami u člověka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diagnostika, prevence, léčba vad a chorob, záznam výskytu chorob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genetická konzultace – získání informací o rodině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rodokmen – zjišťují se dědičné choroby v rodině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značky používané v rodokmenu: obrázek vpravo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geneticky podmíněné choroby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monogenní – způsobeny mutací jednoho genu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multifaktoriální – více genů + vliv vnějšího prostředí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chromozomové – způsobené aberacemi (viz níže)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monogenní dědičné znaky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geny kódují tvorbu funkční RNA nebo proteinů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každý gen má více konkrétních forem, tzv. alel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každá alela může podmiňovat jiný projev příslušného znaku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např. gen pro barvu květů hrachu: alela pro červený květ, alela pro bílý květ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každý jedinec má dvě alely téhož genu – od matky a od otce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genotyp – kombinace alel u daného jedince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fenotyp – soubor znaků zjistitelný pozorováním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dědičnost s úplnou dominancí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dominantní alela se projeví vždy, když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v genotypu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recesivní alela se projeví jen tehdy, když není v genotypu dominantní alela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571500</wp:posOffset>
            </wp:positionH>
            <wp:positionV relativeFrom="paragraph">
              <wp:posOffset>178435</wp:posOffset>
            </wp:positionV>
            <wp:extent cx="5038725" cy="2366010"/>
            <wp:effectExtent b="0" l="0" r="0" t="0"/>
            <wp:wrapTopAndBottom distB="0" distT="0"/>
            <wp:docPr id="2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3660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5305425</wp:posOffset>
            </wp:positionH>
            <wp:positionV relativeFrom="paragraph">
              <wp:posOffset>2324100</wp:posOffset>
            </wp:positionV>
            <wp:extent cx="1498600" cy="1143000"/>
            <wp:effectExtent b="0" l="0" r="0" t="0"/>
            <wp:wrapSquare wrapText="bothSides" distB="0" distT="0" distL="114300" distR="114300"/>
            <wp:docPr id="2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114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Mendelovy zákony – určují, jak se kombinují alely u potomků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Mendelův zákon – o uniformitě hybridů v F1 generaci (Potomky dominantního homozygota a recesivního homozygota jsou pouze heterozygoti.)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Mendelův zákon – o štepení vloh v F2 generaci (Alely dvou heterozygotů se u potomků kombinují se stejnou pravděpodobností.)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5257800</wp:posOffset>
            </wp:positionH>
            <wp:positionV relativeFrom="paragraph">
              <wp:posOffset>405776</wp:posOffset>
            </wp:positionV>
            <wp:extent cx="1591945" cy="1185545"/>
            <wp:effectExtent b="0" l="0" r="0" t="0"/>
            <wp:wrapSquare wrapText="bothSides" distB="0" distT="0" distL="114300" distR="114300"/>
            <wp:docPr id="3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1945" cy="11855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Mendelovy zákony se dají znázornit Punnetovými čtverci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autozomově dominantní choroby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choroba se projeví u heterozygotů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dominantní homozygoti nejsou schopni života, tato kombinace je letální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zdravý jedinec je recesivní homozygot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příklady: achondroplazie, Huntingtonova chorea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autozomově recesivní choroby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dominantní homozygot je zdravý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heterozygot je přenašeč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recesivní homozygot je nemocný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příklady: fenylketonurie, cystická fibróza,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gonozomově recesivní choroby (X-vázané recesivní choroby)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3292475</wp:posOffset>
            </wp:positionH>
            <wp:positionV relativeFrom="paragraph">
              <wp:posOffset>177800</wp:posOffset>
            </wp:positionV>
            <wp:extent cx="2958465" cy="1952625"/>
            <wp:effectExtent b="0" l="0" r="0" t="0"/>
            <wp:wrapSquare wrapText="bothSides" distB="0" distT="0" distL="114300" distR="114300"/>
            <wp:docPr id="3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952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ženy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dominantní homozygot – zdravá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heterozygot – přenašečka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recesivní homozygot –  postižená (velmi vzácný případ)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muži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dominantní alela – zdravý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recesivní alela – postižený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příklady: hemofilie, fragilní X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multifaktoriální choroby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vznikají kombinací vlivu genetických předpokladů a vnějšího prostředí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vznik je podmíněn kombinací alel více různých genů za spoluúčasti vnějších faktorů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příklady: vrozená luxace kyčlí, Diabetes mellitus 1. i 2. typu, hypertenze, ateroskleróza, obezita, roztroušená skleróza, některá psychiatrická onemocnění (schizofrenie, Alzheimerova choroba, …)</w:t>
      </w:r>
    </w:p>
    <w:p w:rsidR="00000000" w:rsidDel="00000000" w:rsidP="00000000" w:rsidRDefault="00000000" w:rsidRPr="00000000" w14:paraId="000000B0">
      <w:pPr>
        <w:pStyle w:val="Heading2"/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Další související pojmy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cytogenetika – zabývá se stavbou, funkcí a změnami eukaryotických chromozomů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vyšetření karyotypu – lidské chromozomy se barví a potom se určují podle G-pruhování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chromozomové aberace – změny počtu nebo struktury chromozomů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numerické aberace – změny počtu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triploidie, tetraploidie – znásobení celé chromozomové sady, u člověka postnatálně neslučitelné se životem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aneuploidie – počet chromozomů neodpovídá celočíselnému násobku kompletní sady, vznikají chybným rozchodem chromozomů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trizomie: 2n+1 chromozomů, u somatických buněk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monozomie: 2n – 1 chromozomů, u somatických buněk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nulizomie: n - 1 chromozomů, u gamet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dizomie: n + 1 chromozomů, u gamet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Downův syndrom – trizomie 21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Patauův syndrom – trizomie 13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Edwardsův syndrom – trizomie 18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Turnerův syndrom – monozomie X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Klinefelterův syndrom – nadbytečný chromozom X u muže (XXY)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strukturní aberace – přestavby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delece, mikrodelece – ztráta části chromozomu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translokace – výměna nebo spojení částí dvou různých chromozomů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cri du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chat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syndrom – terminální delece krátkých ramének 5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syndrom DiGeorge – mikrodelece dlouhých ramének 22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translokační forma Downova syndromu – translokace 14 a 21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mutace – změna genetického materiálu, vrozené nebo získané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identifikují se hybridizací sondami, obvykle FISH (fluorescenční in situ hybridizace)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genom – soubor všech molekul DNA v dané buňce, případně organismu</w:t>
      </w:r>
    </w:p>
    <w:sectPr>
      <w:pgSz w:h="16838" w:w="11906" w:orient="portrait"/>
      <w:pgMar w:bottom="720" w:top="720" w:left="720" w:right="720" w:header="708" w:footer="708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Michal Zelený" w:id="0" w:date="2021-05-20T11:50:15Z"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Musíme vědět, co to znamená nebo stačí jen říct větu, jak tu je?</w:t>
      </w:r>
    </w:p>
  </w:comment>
  <w:comment w:author="Filip Oplt" w:id="1" w:date="2021-05-20T14:09:58Z"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Hele ono to v podstatě znamená jen to, že přidáš do zkumavky alkohol a DNA se ti vysráží. Tak ji izoluješ (vezmeš ven) a analyzuješ (elektroforézou zjistíš její složení).</w:t>
      </w:r>
    </w:p>
  </w:comment>
  <w:comment w:author="Filip Oplt" w:id="2" w:date="2021-05-20T14:10:38Z"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 jsme takhle na téboře izolovali DNA banánu. :D Prostě se to nějak rozmačkalo, hodilo do roztoku s alkoholem a pak vznikla sraženina, což měla být ta DNA banánu. :D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0C9" w15:done="0"/>
  <w15:commentEx w15:paraId="000000CA" w15:paraIdParent="000000C9" w15:done="0"/>
  <w15:commentEx w15:paraId="000000CB" w15:paraIdParent="000000C9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Arial"/>
  <w:font w:name="Courier New"/>
  <w:font w:name="Wingdings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cs-CZ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ln" w:default="1">
    <w:name w:val="Normal"/>
    <w:qFormat w:val="1"/>
  </w:style>
  <w:style w:type="paragraph" w:styleId="Nadpis2">
    <w:name w:val="heading 2"/>
    <w:basedOn w:val="Normln"/>
    <w:next w:val="Normln"/>
    <w:link w:val="Nadpis2Char"/>
    <w:uiPriority w:val="9"/>
    <w:unhideWhenUsed w:val="1"/>
    <w:qFormat w:val="1"/>
    <w:rsid w:val="00E76728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character" w:styleId="Standardnpsmoodstavce" w:default="1">
    <w:name w:val="Default Paragraph Font"/>
    <w:uiPriority w:val="1"/>
    <w:semiHidden w:val="1"/>
    <w:unhideWhenUsed w:val="1"/>
  </w:style>
  <w:style w:type="table" w:styleId="Normlntabulka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Bezseznamu" w:default="1">
    <w:name w:val="No List"/>
    <w:uiPriority w:val="99"/>
    <w:semiHidden w:val="1"/>
    <w:unhideWhenUsed w:val="1"/>
  </w:style>
  <w:style w:type="character" w:styleId="Nadpis2Char" w:customStyle="1">
    <w:name w:val="Nadpis 2 Char"/>
    <w:basedOn w:val="Standardnpsmoodstavce"/>
    <w:link w:val="Nadpis2"/>
    <w:uiPriority w:val="9"/>
    <w:rsid w:val="00E76728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Podnadpis">
    <w:name w:val="Subtitle"/>
    <w:basedOn w:val="Normln"/>
    <w:next w:val="Normln"/>
    <w:link w:val="PodnadpisChar"/>
    <w:uiPriority w:val="11"/>
    <w:qFormat w:val="1"/>
    <w:rsid w:val="00E76728"/>
    <w:pPr>
      <w:numPr>
        <w:ilvl w:val="1"/>
      </w:numPr>
    </w:pPr>
    <w:rPr>
      <w:rFonts w:eastAsiaTheme="minorEastAsia"/>
      <w:color w:val="5a5a5a" w:themeColor="text1" w:themeTint="0000A5"/>
      <w:spacing w:val="15"/>
    </w:rPr>
  </w:style>
  <w:style w:type="character" w:styleId="PodnadpisChar" w:customStyle="1">
    <w:name w:val="Podnadpis Char"/>
    <w:basedOn w:val="Standardnpsmoodstavce"/>
    <w:link w:val="Podnadpis"/>
    <w:uiPriority w:val="11"/>
    <w:rsid w:val="00E76728"/>
    <w:rPr>
      <w:rFonts w:eastAsiaTheme="minorEastAsia"/>
      <w:color w:val="5a5a5a" w:themeColor="text1" w:themeTint="0000A5"/>
      <w:spacing w:val="15"/>
    </w:rPr>
  </w:style>
  <w:style w:type="paragraph" w:styleId="Odstavecseseznamem">
    <w:name w:val="List Paragraph"/>
    <w:basedOn w:val="Normln"/>
    <w:uiPriority w:val="34"/>
    <w:qFormat w:val="1"/>
    <w:rsid w:val="006221A5"/>
    <w:pPr>
      <w:ind w:left="720"/>
      <w:contextualSpacing w:val="1"/>
    </w:pPr>
  </w:style>
  <w:style w:type="paragraph" w:styleId="Normlnweb">
    <w:name w:val="Normal (Web)"/>
    <w:basedOn w:val="Normln"/>
    <w:uiPriority w:val="99"/>
    <w:semiHidden w:val="1"/>
    <w:unhideWhenUsed w:val="1"/>
    <w:rsid w:val="006221A5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cs-CZ"/>
    </w:rPr>
  </w:style>
  <w:style w:type="table" w:styleId="Mkatabulky">
    <w:name w:val="Table Grid"/>
    <w:basedOn w:val="Normlntabulka"/>
    <w:uiPriority w:val="39"/>
    <w:rsid w:val="006221A5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ypertextovodkaz">
    <w:name w:val="Hyperlink"/>
    <w:basedOn w:val="Standardnpsmoodstavce"/>
    <w:uiPriority w:val="99"/>
    <w:unhideWhenUsed w:val="1"/>
    <w:rsid w:val="00E67C82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 w:val="1"/>
    <w:unhideWhenUsed w:val="1"/>
    <w:rsid w:val="00E67C82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pageBreakBefore w:val="0"/>
    </w:pPr>
    <w:rPr>
      <w:color w:val="5a5a5a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14.png"/><Relationship Id="rId21" Type="http://schemas.openxmlformats.org/officeDocument/2006/relationships/image" Target="media/image18.png"/><Relationship Id="rId24" Type="http://schemas.openxmlformats.org/officeDocument/2006/relationships/image" Target="media/image9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moodle.fel.cvut.cz/pluginfile.php/224756/mod_resource/content/2/Zaklady_cytogenetiky_I_FEL_2019.pdf" TargetMode="External"/><Relationship Id="rId26" Type="http://schemas.openxmlformats.org/officeDocument/2006/relationships/image" Target="media/image8.png"/><Relationship Id="rId25" Type="http://schemas.openxmlformats.org/officeDocument/2006/relationships/image" Target="media/image13.png"/><Relationship Id="rId28" Type="http://schemas.openxmlformats.org/officeDocument/2006/relationships/image" Target="media/image4.png"/><Relationship Id="rId27" Type="http://schemas.openxmlformats.org/officeDocument/2006/relationships/image" Target="media/image6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Relationship Id="rId11" Type="http://schemas.openxmlformats.org/officeDocument/2006/relationships/image" Target="media/image15.png"/><Relationship Id="rId10" Type="http://schemas.openxmlformats.org/officeDocument/2006/relationships/hyperlink" Target="https://moodle.fel.cvut.cz/pluginfile.php/226008/mod_resource/content/1/Klinicka_genetika_FEL_2019.pdf" TargetMode="External"/><Relationship Id="rId13" Type="http://schemas.openxmlformats.org/officeDocument/2006/relationships/image" Target="media/image2.png"/><Relationship Id="rId12" Type="http://schemas.openxmlformats.org/officeDocument/2006/relationships/image" Target="media/image16.png"/><Relationship Id="rId15" Type="http://schemas.openxmlformats.org/officeDocument/2006/relationships/image" Target="media/image10.png"/><Relationship Id="rId14" Type="http://schemas.openxmlformats.org/officeDocument/2006/relationships/image" Target="media/image1.png"/><Relationship Id="rId17" Type="http://schemas.openxmlformats.org/officeDocument/2006/relationships/image" Target="media/image7.png"/><Relationship Id="rId16" Type="http://schemas.openxmlformats.org/officeDocument/2006/relationships/image" Target="media/image3.png"/><Relationship Id="rId19" Type="http://schemas.openxmlformats.org/officeDocument/2006/relationships/image" Target="media/image11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jPnYWW79Y9Nn3JLLO0QzhURVhWg==">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2021-05-02T19:38:00Z</dcterms:created>
  <dc:creator>Filip</dc:creator>
</cp:coreProperties>
</file>