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both"/>
        <w:rPr>
          <w:rFonts w:ascii="Arial" w:cs="Arial" w:eastAsia="Arial" w:hAnsi="Arial"/>
          <w:color w:val="c00000"/>
        </w:rPr>
      </w:pPr>
      <w:r w:rsidDel="00000000" w:rsidR="00000000" w:rsidRPr="00000000">
        <w:rPr>
          <w:rFonts w:ascii="Arial" w:cs="Arial" w:eastAsia="Arial" w:hAnsi="Arial"/>
          <w:color w:val="c00000"/>
          <w:rtl w:val="0"/>
        </w:rPr>
        <w:t xml:space="preserve">E9 – Popis lineárních systémů v časové a kmitočtové oblasti, princip a vlastnosti zpětné vazby, typy filtrů, základní aproximace modulových charakteristik filtrů – vlastnosti v kmitočtové a časové oblasti. (Elektronické obvody 1)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Více info v prezentacích na moodlu</w:t>
      </w:r>
    </w:p>
    <w:p w:rsidR="00000000" w:rsidDel="00000000" w:rsidP="00000000" w:rsidRDefault="00000000" w:rsidRPr="00000000" w14:paraId="00000003">
      <w:pPr>
        <w:pageBreakBefore w:val="0"/>
        <w:jc w:val="center"/>
        <w:rPr>
          <w:rFonts w:ascii="Arial" w:cs="Arial" w:eastAsia="Arial" w:hAnsi="Arial"/>
        </w:rPr>
      </w:pPr>
      <w:hyperlink r:id="rId7">
        <w:r w:rsidDel="00000000" w:rsidR="00000000" w:rsidRPr="00000000">
          <w:rPr>
            <w:rFonts w:ascii="Arial" w:cs="Arial" w:eastAsia="Arial" w:hAnsi="Arial"/>
            <w:color w:val="000000"/>
            <w:u w:val="none"/>
            <w:rtl w:val="0"/>
          </w:rPr>
          <w:t xml:space="preserve">https://moodle.fel.cvut.cz/pluginfile.php/206067/mod_resource/content/6/systemy.pdf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center"/>
        <w:rPr>
          <w:rFonts w:ascii="Arial" w:cs="Arial" w:eastAsia="Arial" w:hAnsi="Arial"/>
        </w:rPr>
      </w:pPr>
      <w:hyperlink r:id="rId8">
        <w:r w:rsidDel="00000000" w:rsidR="00000000" w:rsidRPr="00000000">
          <w:rPr>
            <w:rFonts w:ascii="Arial" w:cs="Arial" w:eastAsia="Arial" w:hAnsi="Arial"/>
            <w:color w:val="000000"/>
            <w:u w:val="none"/>
            <w:rtl w:val="0"/>
          </w:rPr>
          <w:t xml:space="preserve">https://moodle.fel.cvut.cz/pluginfile.php/206077/mod_resource/content/6/filtry_prenosy.pdf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center"/>
        <w:rPr>
          <w:rFonts w:ascii="Arial" w:cs="Arial" w:eastAsia="Arial" w:hAnsi="Arial"/>
        </w:rPr>
      </w:pPr>
      <w:hyperlink r:id="rId9">
        <w:r w:rsidDel="00000000" w:rsidR="00000000" w:rsidRPr="00000000">
          <w:rPr>
            <w:rFonts w:ascii="Arial" w:cs="Arial" w:eastAsia="Arial" w:hAnsi="Arial"/>
            <w:color w:val="000000"/>
            <w:u w:val="none"/>
            <w:rtl w:val="0"/>
          </w:rPr>
          <w:t xml:space="preserve">https://moodle.fel.cvut.cz/pluginfile.php/206086/mod_resource/content/4/filtry_synteza.pdf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https://moodle.fel.cvut.cz/pluginfile.php/206097/mod_resource/content/6/ZV.pdf</w:t>
      </w:r>
    </w:p>
    <w:p w:rsidR="00000000" w:rsidDel="00000000" w:rsidP="00000000" w:rsidRDefault="00000000" w:rsidRPr="00000000" w14:paraId="00000007">
      <w:pPr>
        <w:pageBreakBefore w:val="0"/>
        <w:jc w:val="center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Systém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Systém je abstrakce jakéhokoliv „zařízení“ transformujícího vstupní signál (y) na výstupní.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1471797</wp:posOffset>
            </wp:positionH>
            <wp:positionV relativeFrom="paragraph">
              <wp:posOffset>70203</wp:posOffset>
            </wp:positionV>
            <wp:extent cx="3488462" cy="760707"/>
            <wp:effectExtent b="0" l="0" r="0" t="0"/>
            <wp:wrapSquare wrapText="bothSides" distB="0" distT="0" distL="114300" distR="114300"/>
            <wp:docPr id="5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42594" l="23077" r="24401" t="37044"/>
                    <a:stretch>
                      <a:fillRect/>
                    </a:stretch>
                  </pic:blipFill>
                  <pic:spPr>
                    <a:xfrm>
                      <a:off x="0" y="0"/>
                      <a:ext cx="3488462" cy="7607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Základní dělení systémů podle charakteru zpracovávaného signálu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spojité – pracují se signály spojitě v čase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diskrétní – pracují s diskrétními signály (v diskrétních časových okamžicích)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číslicové – pracují s čísly (konečným počtem úrovní = kvantovanými hodnotami signálu)</w:t>
      </w:r>
    </w:p>
    <w:p w:rsidR="00000000" w:rsidDel="00000000" w:rsidP="00000000" w:rsidRDefault="00000000" w:rsidRPr="00000000" w14:paraId="00000012">
      <w:pPr>
        <w:pageBreakBefore w:val="0"/>
        <w:ind w:left="708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Podle jeho vlastností: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lineární/nelineární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podle převodní charakteristiky, tj. závislosti velikosti výstupního signálu na velikosti signálu vstupního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časově invariantní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posunutý vstupní signál u(t − τ) generuje posunutý výstupní signál u(t − τ)</w:t>
          </w:r>
        </w:sdtContent>
      </w:sdt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bez paměti/s pamětí.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jc w:val="center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Vlastnosti lineárních časově invariantních (LTI) systémů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LINEARITA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Pokud se zvětší vstupní signál, tak se lineárně zvětší i signál výstupní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1843722</wp:posOffset>
            </wp:positionH>
            <wp:positionV relativeFrom="paragraph">
              <wp:posOffset>83167</wp:posOffset>
            </wp:positionV>
            <wp:extent cx="2958465" cy="339090"/>
            <wp:effectExtent b="0" l="0" r="0" t="0"/>
            <wp:wrapSquare wrapText="bothSides" distB="0" distT="0" distL="114300" distR="114300"/>
            <wp:docPr id="6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 b="63763" l="33220" r="36342" t="30034"/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3390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Platí princip superpozice: součet odezev na dílčí složky = celková odezva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902017</wp:posOffset>
            </wp:positionH>
            <wp:positionV relativeFrom="paragraph">
              <wp:posOffset>71755</wp:posOffset>
            </wp:positionV>
            <wp:extent cx="4841875" cy="318135"/>
            <wp:effectExtent b="0" l="0" r="0" t="0"/>
            <wp:wrapSquare wrapText="bothSides" distB="0" distT="0" distL="114300" distR="114300"/>
            <wp:docPr id="3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49042" l="24781" r="27383" t="45361"/>
                    <a:stretch>
                      <a:fillRect/>
                    </a:stretch>
                  </pic:blipFill>
                  <pic:spPr>
                    <a:xfrm>
                      <a:off x="0" y="0"/>
                      <a:ext cx="4841875" cy="3181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ČASOVÁ INVARIANCE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3588179</wp:posOffset>
            </wp:positionH>
            <wp:positionV relativeFrom="paragraph">
              <wp:posOffset>54830</wp:posOffset>
            </wp:positionV>
            <wp:extent cx="2181225" cy="394335"/>
            <wp:effectExtent b="0" l="0" r="0" t="0"/>
            <wp:wrapSquare wrapText="bothSides" distB="0" distT="0" distL="114300" distR="114300"/>
            <wp:docPr id="5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40073" l="39721" r="40990" t="53721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943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Vlastnosti systému se nemění s časem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„Povolené“ funkce LTI systému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Součet (rozdíl) signálů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Zesílení (zeslabení), tj. násobení signálu reálnou konstantou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„Paměť“ – integrace (derivace) signálu, resp. zpoždění (pro diskrétní systémy)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„Nepovolené“ funkce LTI systému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Násobení, dělení signálů, aplikace nelineární funkce na signál (mocnina, odmocnina, logaritmus,….)</w:t>
      </w:r>
    </w:p>
    <w:p w:rsidR="00000000" w:rsidDel="00000000" w:rsidP="00000000" w:rsidRDefault="00000000" w:rsidRPr="00000000" w14:paraId="0000002C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jc w:val="center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Popis LTI systémů v časové oblasti</w:t>
      </w:r>
    </w:p>
    <w:p w:rsidR="00000000" w:rsidDel="00000000" w:rsidP="00000000" w:rsidRDefault="00000000" w:rsidRPr="00000000" w14:paraId="0000002E">
      <w:pPr>
        <w:pageBreakBefore w:val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1063307</wp:posOffset>
            </wp:positionH>
            <wp:positionV relativeFrom="paragraph">
              <wp:posOffset>59689</wp:posOffset>
            </wp:positionV>
            <wp:extent cx="4519295" cy="2084705"/>
            <wp:effectExtent b="0" l="0" r="0" t="0"/>
            <wp:wrapSquare wrapText="bothSides" distB="0" distT="0" distL="114300" distR="114300"/>
            <wp:docPr id="4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17934" l="17769" r="20292" t="31272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20847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pageBreakBefore w:val="0"/>
        <w:jc w:val="center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jc w:val="center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Přechodová charakteristika – odezva na jednotkový skok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 jednotkový skok 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=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(t) ≡ Heaviside(t) je řešení rovnice (1.1)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2056765</wp:posOffset>
            </wp:positionH>
            <wp:positionV relativeFrom="paragraph">
              <wp:posOffset>121285</wp:posOffset>
            </wp:positionV>
            <wp:extent cx="2532380" cy="337820"/>
            <wp:effectExtent b="0" l="0" r="0" t="0"/>
            <wp:wrapSquare wrapText="bothSides" distB="0" distT="0" distL="114300" distR="114300"/>
            <wp:docPr id="4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51337" l="36165" r="37938" t="42512"/>
                    <a:stretch>
                      <a:fillRect/>
                    </a:stretch>
                  </pic:blipFill>
                  <pic:spPr>
                    <a:xfrm>
                      <a:off x="0" y="0"/>
                      <a:ext cx="2532380" cy="3378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které nazýváme přechodovou charakteristikou (pro nulové počáteční podmínky 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(0) = 0).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1355090</wp:posOffset>
            </wp:positionH>
            <wp:positionV relativeFrom="paragraph">
              <wp:posOffset>63500</wp:posOffset>
            </wp:positionV>
            <wp:extent cx="3935730" cy="1372870"/>
            <wp:effectExtent b="0" l="0" r="0" t="0"/>
            <wp:wrapSquare wrapText="bothSides" distB="0" distT="0" distL="114300" distR="114300"/>
            <wp:docPr id="3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19553" l="19432" r="21308" t="43689"/>
                    <a:stretch>
                      <a:fillRect/>
                    </a:stretch>
                  </pic:blipFill>
                  <pic:spPr>
                    <a:xfrm>
                      <a:off x="0" y="0"/>
                      <a:ext cx="3935730" cy="13728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Impulsní charakteristika – odezva na Diracův pulz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 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(t) = δ(t) (Diracův puls) a při 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(0</w:t>
      </w: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subscript"/>
              <w:rtl w:val="0"/>
            </w:rPr>
            <w:t xml:space="preserve">−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= 0, bude řešení rovnice (1.1)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2154872</wp:posOffset>
            </wp:positionH>
            <wp:positionV relativeFrom="paragraph">
              <wp:posOffset>53975</wp:posOffset>
            </wp:positionV>
            <wp:extent cx="2336165" cy="374650"/>
            <wp:effectExtent b="0" l="0" r="0" t="0"/>
            <wp:wrapSquare wrapText="bothSides" distB="0" distT="0" distL="114300" distR="114300"/>
            <wp:docPr id="5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6165" cy="374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1520190</wp:posOffset>
            </wp:positionH>
            <wp:positionV relativeFrom="paragraph">
              <wp:posOffset>6545</wp:posOffset>
            </wp:positionV>
            <wp:extent cx="3605530" cy="1097915"/>
            <wp:effectExtent b="0" l="0" r="0" t="0"/>
            <wp:wrapSquare wrapText="bothSides" distB="0" distT="0" distL="114300" distR="114300"/>
            <wp:docPr id="4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530" cy="10979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Vztah mezi přechodovou a impulsní charakteristikou: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2075565</wp:posOffset>
            </wp:positionH>
            <wp:positionV relativeFrom="paragraph">
              <wp:posOffset>72937</wp:posOffset>
            </wp:positionV>
            <wp:extent cx="2494779" cy="613689"/>
            <wp:effectExtent b="0" l="0" r="0" t="0"/>
            <wp:wrapSquare wrapText="bothSides" distB="0" distT="0" distL="114300" distR="114300"/>
            <wp:docPr id="6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4779" cy="6136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Konvoluce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Při znalosti impulsní odezvy h(t) lze pro vstupní signál u(t) určit výstupní signál y(t) pomocí konvolučního integrálu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2469515</wp:posOffset>
            </wp:positionH>
            <wp:positionV relativeFrom="paragraph">
              <wp:posOffset>8255</wp:posOffset>
            </wp:positionV>
            <wp:extent cx="2686685" cy="560070"/>
            <wp:effectExtent b="0" l="0" r="0" t="0"/>
            <wp:wrapSquare wrapText="bothSides" distB="0" distT="0" distL="114300" distR="114300"/>
            <wp:docPr id="6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685" cy="5600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 kauzální systém je navíc pro t &lt; 0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h(t) = 0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stačí integrovat od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jc w:val="center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Popis LTI systémů v obrazové oblasti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 HUS je derivace (integrál) nahrazen násobením (dělením) členem jω. Tzv. Laplaceova transformace transformuje derivaci časové funkce na násobení obrazu funkce operátorem s, tj. převádí lineární diferenciální rovnice na algebraické.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2144395</wp:posOffset>
            </wp:positionH>
            <wp:positionV relativeFrom="paragraph">
              <wp:posOffset>7168</wp:posOffset>
            </wp:positionV>
            <wp:extent cx="2357120" cy="424815"/>
            <wp:effectExtent b="0" l="0" r="0" t="0"/>
            <wp:wrapSquare wrapText="bothSides" distB="0" distT="0" distL="114300" distR="114300"/>
            <wp:docPr id="4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24189" r="24677" t="45794"/>
                    <a:stretch>
                      <a:fillRect/>
                    </a:stretch>
                  </pic:blipFill>
                  <pic:spPr>
                    <a:xfrm>
                      <a:off x="0" y="0"/>
                      <a:ext cx="2357120" cy="4248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 základě tohoto popisu je definován tzv. přenos LTI systému jako poměr Laplaceových obrazů výstupního a vstupního signálu při nulových počátečních podmínkách.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3823037</wp:posOffset>
            </wp:positionH>
            <wp:positionV relativeFrom="paragraph">
              <wp:posOffset>-3141</wp:posOffset>
            </wp:positionV>
            <wp:extent cx="977265" cy="462915"/>
            <wp:effectExtent b="0" l="0" r="0" t="0"/>
            <wp:wrapSquare wrapText="bothSides" distB="0" distT="0" distL="114300" distR="114300"/>
            <wp:docPr id="4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6786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7265" cy="4629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Pokud známe obraz vstupního signálu a přenos, lze vypočítat obraz výstupního signálu Y(s) = U(s) · H(s). Časovou funkci pak dostaneme inverzní LT. Obraz Diracova pulzu je 1: L{δ(t)} = 1, z čehož vyplývá, že přenos je obraz impulsní charakteristiky h(t) = L^(-1){1 · H(s)} a je zřejmá jedna z velmi důležitých vlastnosti LT, tj. obraz konvoluce: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2442911</wp:posOffset>
            </wp:positionH>
            <wp:positionV relativeFrom="paragraph">
              <wp:posOffset>518252</wp:posOffset>
            </wp:positionV>
            <wp:extent cx="1760088" cy="340017"/>
            <wp:effectExtent b="0" l="0" r="0" t="0"/>
            <wp:wrapSquare wrapText="bothSides" distB="0" distT="0" distL="114300" distR="114300"/>
            <wp:docPr id="4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0088" cy="3400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Příklad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-129539</wp:posOffset>
            </wp:positionH>
            <wp:positionV relativeFrom="paragraph">
              <wp:posOffset>284480</wp:posOffset>
            </wp:positionV>
            <wp:extent cx="3551555" cy="2383155"/>
            <wp:effectExtent b="0" l="0" r="0" t="0"/>
            <wp:wrapSquare wrapText="bothSides" distB="0" distT="0" distL="114300" distR="114300"/>
            <wp:docPr id="4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999" t="1995"/>
                    <a:stretch>
                      <a:fillRect/>
                    </a:stretch>
                  </pic:blipFill>
                  <pic:spPr>
                    <a:xfrm>
                      <a:off x="0" y="0"/>
                      <a:ext cx="3551555" cy="23831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3564310</wp:posOffset>
            </wp:positionH>
            <wp:positionV relativeFrom="paragraph">
              <wp:posOffset>273927</wp:posOffset>
            </wp:positionV>
            <wp:extent cx="3213735" cy="2378075"/>
            <wp:effectExtent b="0" l="0" r="0" t="0"/>
            <wp:wrapSquare wrapText="bothSides" distB="0" distT="0" distL="114300" distR="114300"/>
            <wp:docPr id="5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2378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1">
      <w:pPr>
        <w:pageBreakBefore w:val="0"/>
        <w:spacing w:after="0" w:line="240" w:lineRule="auto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spacing w:after="0" w:line="240" w:lineRule="auto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spacing w:after="0" w:line="240" w:lineRule="auto"/>
        <w:jc w:val="center"/>
        <w:rPr>
          <w:rFonts w:ascii="Arial" w:cs="Arial" w:eastAsia="Arial" w:hAnsi="Arial"/>
          <w:b w:val="1"/>
          <w:color w:val="000000"/>
          <w:sz w:val="20"/>
          <w:szCs w:val="20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u w:val="single"/>
          <w:rtl w:val="0"/>
        </w:rPr>
        <w:t xml:space="preserve">Kmitočtové filtry (typy, přenosové funkce)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790575</wp:posOffset>
            </wp:positionH>
            <wp:positionV relativeFrom="paragraph">
              <wp:posOffset>2540</wp:posOffset>
            </wp:positionV>
            <wp:extent cx="5064760" cy="3308350"/>
            <wp:effectExtent b="0" l="0" r="0" t="0"/>
            <wp:wrapSquare wrapText="bothSides" distB="0" distT="0" distL="114300" distR="114300"/>
            <wp:docPr id="3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124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4760" cy="3308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Přenosová funkce filtru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Přenosová funkce filtru je racionálně lomená funkce proměnné s (Laplaceova operátoru).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1425575</wp:posOffset>
            </wp:positionH>
            <wp:positionV relativeFrom="paragraph">
              <wp:posOffset>56086</wp:posOffset>
            </wp:positionV>
            <wp:extent cx="3794760" cy="527050"/>
            <wp:effectExtent b="0" l="0" r="0" t="0"/>
            <wp:wrapSquare wrapText="bothSides" distB="0" distT="0" distL="114300" distR="114300"/>
            <wp:docPr id="5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527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Póly a nuly jsou velmi důležité parametry filtru, které udávají celkové chování systému jak v časové, tak kmitočtové oblasti. Neudávají pouze posun modulové charakteristiky (zisk/utlum) 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= H(0), které je dané konstantou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2105286</wp:posOffset>
            </wp:positionH>
            <wp:positionV relativeFrom="paragraph">
              <wp:posOffset>345646</wp:posOffset>
            </wp:positionV>
            <wp:extent cx="1336675" cy="638810"/>
            <wp:effectExtent b="0" l="0" r="0" t="0"/>
            <wp:wrapSquare wrapText="bothSides" distB="0" distT="0" distL="114300" distR="114300"/>
            <wp:docPr id="4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6675" cy="6388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 přenosovou funkci filtru musí dále platit M ≤ N.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 charakter (tj. i stabilitu) systému mají vliv pouze póly přenosové funkce. Nuly (společně s póly) přenosové funkce mají vliv na kmitočtovou charakteristiku systému H(jω).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Přenosové funkce 1. řádu + charakteristika (LP, HP)</w:t>
      </w:r>
    </w:p>
    <w:p w:rsidR="00000000" w:rsidDel="00000000" w:rsidP="00000000" w:rsidRDefault="00000000" w:rsidRPr="00000000" w14:paraId="0000009A">
      <w:pPr>
        <w:pageBreakBefore w:val="0"/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1144905</wp:posOffset>
            </wp:positionH>
            <wp:positionV relativeFrom="paragraph">
              <wp:posOffset>71755</wp:posOffset>
            </wp:positionV>
            <wp:extent cx="4356100" cy="3477260"/>
            <wp:effectExtent b="0" l="0" r="0" t="0"/>
            <wp:wrapSquare wrapText="bothSides" distB="0" distT="0" distL="114300" distR="114300"/>
            <wp:docPr id="6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34772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B">
      <w:pPr>
        <w:pageBreakBefore w:val="0"/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spacing w:after="0" w:line="240" w:lineRule="auto"/>
        <w:jc w:val="center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Základní aproximace modulových charakteristik filtrů</w:t>
      </w:r>
    </w:p>
    <w:p w:rsidR="00000000" w:rsidDel="00000000" w:rsidP="00000000" w:rsidRDefault="00000000" w:rsidRPr="00000000" w14:paraId="000000B5">
      <w:pPr>
        <w:pageBreakBefore w:val="0"/>
        <w:spacing w:after="0" w:line="240" w:lineRule="auto"/>
        <w:jc w:val="center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Elementární realizace LP – integrační RC článek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1222057</wp:posOffset>
            </wp:positionH>
            <wp:positionV relativeFrom="paragraph">
              <wp:posOffset>91943</wp:posOffset>
            </wp:positionV>
            <wp:extent cx="4201795" cy="2529840"/>
            <wp:effectExtent b="0" l="0" r="0" t="0"/>
            <wp:wrapSquare wrapText="bothSides" distB="0" distT="0" distL="114300" distR="114300"/>
            <wp:docPr id="4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1795" cy="25298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Toleranční schémata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-198754</wp:posOffset>
            </wp:positionH>
            <wp:positionV relativeFrom="paragraph">
              <wp:posOffset>224155</wp:posOffset>
            </wp:positionV>
            <wp:extent cx="3184525" cy="1670050"/>
            <wp:effectExtent b="0" l="0" r="0" t="0"/>
            <wp:wrapSquare wrapText="bothSides" distB="0" distT="0" distL="114300" distR="114300"/>
            <wp:docPr id="5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4525" cy="1670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3823970</wp:posOffset>
            </wp:positionH>
            <wp:positionV relativeFrom="paragraph">
              <wp:posOffset>2540</wp:posOffset>
            </wp:positionV>
            <wp:extent cx="2763520" cy="1913890"/>
            <wp:effectExtent b="0" l="0" r="0" t="0"/>
            <wp:wrapSquare wrapText="bothSides" distB="0" distT="0" distL="114300" distR="114300"/>
            <wp:docPr id="5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3520" cy="19138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Butterworth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Maximálně plochá modulová charakteristika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V propustném pásmu plynulá změna fáze s frekvencí, skupinové zpoždění (derivace fáze podle frekvence) bez zvlnění.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Čebyšev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SS aproximace modulové charakteristiky v propustném pásmu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Nejméně tlumené filtry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Nejstrmější boky za cenu zvlnění amplitudové charakteristiky v propustném pásmu.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Inverzní Čebyšev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SS aproximace modulové charakteristiky v nepropustném pásmu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Cauer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SS aproximace modulové charakteristiky v propustném i nepropustném pásmu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Bessel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Amplitudová charakteristika v propustném pásmu velmi plochá.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Nejvíce tlumené filtry.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ageBreakBefore w:val="0"/>
        <w:spacing w:after="0" w:line="240" w:lineRule="auto"/>
        <w:ind w:left="708" w:firstLine="708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                                                Detail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74607</wp:posOffset>
            </wp:positionV>
            <wp:extent cx="3144786" cy="1880982"/>
            <wp:effectExtent b="0" l="0" r="0" t="0"/>
            <wp:wrapSquare wrapText="bothSides" distB="0" distT="0" distL="114300" distR="114300"/>
            <wp:docPr id="5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4786" cy="18809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5">
      <w:pPr>
        <w:pageBreakBefore w:val="0"/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3569970</wp:posOffset>
            </wp:positionH>
            <wp:positionV relativeFrom="paragraph">
              <wp:posOffset>97944</wp:posOffset>
            </wp:positionV>
            <wp:extent cx="3185160" cy="1812290"/>
            <wp:effectExtent b="0" l="0" r="0" t="0"/>
            <wp:wrapSquare wrapText="bothSides" distB="0" distT="0" distL="114300" distR="114300"/>
            <wp:docPr id="5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5163" l="0" r="0" t="2947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8122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6">
      <w:pPr>
        <w:pageBreakBefore w:val="0"/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ageBreakBefore w:val="0"/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ageBreakBefore w:val="0"/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Vlastnosti v časové oblasti – impulsní + přechodová charakteristika</w:t>
      </w:r>
    </w:p>
    <w:p w:rsidR="00000000" w:rsidDel="00000000" w:rsidP="00000000" w:rsidRDefault="00000000" w:rsidRPr="00000000" w14:paraId="000000F2">
      <w:pPr>
        <w:pageBreakBefore w:val="0"/>
        <w:spacing w:after="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spacing w:after="0" w:line="240" w:lineRule="auto"/>
        <w:jc w:val="center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Princip a vlastnosti zpětné vazby</w:t>
      </w:r>
    </w:p>
    <w:p w:rsidR="00000000" w:rsidDel="00000000" w:rsidP="00000000" w:rsidRDefault="00000000" w:rsidRPr="00000000" w14:paraId="000000F4">
      <w:pPr>
        <w:pageBreakBefore w:val="0"/>
        <w:spacing w:after="0" w:line="24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2"/>
          <w:sz w:val="20"/>
          <w:szCs w:val="20"/>
          <w:highlight w:val="white"/>
          <w:vertAlign w:val="baseline"/>
          <w:rtl w:val="0"/>
        </w:rPr>
        <w:t xml:space="preserve">Zpětnou vazbou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2"/>
          <w:sz w:val="20"/>
          <w:szCs w:val="20"/>
          <w:highlight w:val="white"/>
          <w:vertAlign w:val="baseline"/>
          <w:rtl w:val="0"/>
        </w:rPr>
        <w:t xml:space="preserve"> se rozumí uzavřená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2079574</wp:posOffset>
            </wp:positionH>
            <wp:positionV relativeFrom="paragraph">
              <wp:posOffset>209866</wp:posOffset>
            </wp:positionV>
            <wp:extent cx="3396137" cy="2286373"/>
            <wp:effectExtent b="0" l="0" r="0" t="0"/>
            <wp:wrapSquare wrapText="bothSides" distB="0" distT="0" distL="114300" distR="114300"/>
            <wp:docPr id="5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6137" cy="22863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color w:val="2021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202122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highlight w:val="white"/>
          <w:vertAlign w:val="baseline"/>
          <w:rtl w:val="0"/>
        </w:rPr>
        <w:t xml:space="preserve">Klasifikace ZV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2210435</wp:posOffset>
            </wp:positionH>
            <wp:positionV relativeFrom="paragraph">
              <wp:posOffset>10795</wp:posOffset>
            </wp:positionV>
            <wp:extent cx="3381375" cy="2288540"/>
            <wp:effectExtent b="0" l="0" r="0" t="0"/>
            <wp:wrapSquare wrapText="bothSides" distB="0" distT="0" distL="114300" distR="114300"/>
            <wp:docPr id="6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2885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highlight w:val="white"/>
          <w:vertAlign w:val="baseline"/>
          <w:rtl w:val="0"/>
        </w:rPr>
        <w:t xml:space="preserve">Podle zapojení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Podle velikosti vratného rozdílu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1142047</wp:posOffset>
            </wp:positionH>
            <wp:positionV relativeFrom="paragraph">
              <wp:posOffset>198006</wp:posOffset>
            </wp:positionV>
            <wp:extent cx="4361815" cy="2299335"/>
            <wp:effectExtent b="0" l="0" r="0" t="0"/>
            <wp:wrapSquare wrapText="bothSides" distB="0" distT="0" distL="114300" distR="114300"/>
            <wp:docPr id="6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22993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9">
      <w:pPr>
        <w:pageBreakBefore w:val="0"/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ageBreakBefore w:val="0"/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ageBreakBefore w:val="0"/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ageBreakBefore w:val="0"/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ageBreakBefore w:val="0"/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ageBreakBefore w:val="0"/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ageBreakBefore w:val="0"/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ageBreakBefore w:val="0"/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ageBreakBefore w:val="0"/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ageBreakBefore w:val="0"/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ageBreakBefore w:val="0"/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ageBreakBefore w:val="0"/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ageBreakBefore w:val="0"/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ageBreakBefore w:val="0"/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ageBreakBefore w:val="0"/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ageBreakBefore w:val="0"/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ageBreakBefore w:val="0"/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Stabilita ZV soustav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Stabilitou zpětnovazebních soustav je nutné se zabývat, jestliže přenos zpětnovazební smyčky je řádu n = 3 a vyššího, tj. obsahuje-li např. 3 póly přenosu. Stabilitu pak vyšetřujeme na základě přenosu otevřené ZV smyčky podle Nyquistova kritéria.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3834431</wp:posOffset>
            </wp:positionH>
            <wp:positionV relativeFrom="paragraph">
              <wp:posOffset>2676</wp:posOffset>
            </wp:positionV>
            <wp:extent cx="3002307" cy="1802372"/>
            <wp:effectExtent b="0" l="0" r="0" t="0"/>
            <wp:wrapSquare wrapText="bothSides" distB="0" distT="0" distL="114300" distR="114300"/>
            <wp:docPr id="4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2307" cy="18023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Zatěžovací odpor Rz je nutné určit podle zapojení slučovacího členu, vstupního odporu zesilovače a charakteru budicího zdroje tak, aby zatížení zpětnovazebního členu bylo stejné jako před rozpojením ZV smyčky.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Kmitočtová charakteristika přenosu rozpojené ZV smyčky βA v komplexní rovině nesmí pro stabilní systém obepínat bod 1 na reálné ose.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ageBreakBefore w:val="0"/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60960</wp:posOffset>
            </wp:positionV>
            <wp:extent cx="3255010" cy="1854835"/>
            <wp:effectExtent b="0" l="0" r="0" t="0"/>
            <wp:wrapSquare wrapText="bothSides" distB="0" distT="0" distL="114300" distR="114300"/>
            <wp:docPr id="3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5010" cy="18548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3937498</wp:posOffset>
            </wp:positionH>
            <wp:positionV relativeFrom="paragraph">
              <wp:posOffset>3010</wp:posOffset>
            </wp:positionV>
            <wp:extent cx="2774315" cy="1844040"/>
            <wp:effectExtent b="0" l="0" r="0" t="0"/>
            <wp:wrapSquare wrapText="bothSides" distB="0" distT="0" distL="114300" distR="114300"/>
            <wp:docPr id="3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18440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0">
      <w:pPr>
        <w:pageBreakBefore w:val="0"/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ageBreakBefore w:val="0"/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ageBreakBefore w:val="0"/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ageBreakBefore w:val="0"/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ageBreakBefore w:val="0"/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ageBreakBefore w:val="0"/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ageBreakBefore w:val="0"/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ageBreakBefore w:val="0"/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ageBreakBefore w:val="0"/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ageBreakBefore w:val="0"/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ageBreakBefore w:val="0"/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ageBreakBefore w:val="0"/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ageBreakBefore w:val="0"/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Arial Unicode MS"/>
  <w:font w:name="Courier New"/>
  <w:font w:name="Wingdings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cs-CZ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ln" w:default="1">
    <w:name w:val="Normal"/>
    <w:qFormat w:val="1"/>
  </w:style>
  <w:style w:type="character" w:styleId="Standardnpsmoodstavce" w:default="1">
    <w:name w:val="Default Paragraph Font"/>
    <w:uiPriority w:val="1"/>
    <w:semiHidden w:val="1"/>
    <w:unhideWhenUsed w:val="1"/>
  </w:style>
  <w:style w:type="table" w:styleId="Normlntabulka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Bezseznamu" w:default="1">
    <w:name w:val="No List"/>
    <w:uiPriority w:val="99"/>
    <w:semiHidden w:val="1"/>
    <w:unhideWhenUsed w:val="1"/>
  </w:style>
  <w:style w:type="paragraph" w:styleId="Odstavecseseznamem">
    <w:name w:val="List Paragraph"/>
    <w:basedOn w:val="Normln"/>
    <w:uiPriority w:val="34"/>
    <w:qFormat w:val="1"/>
    <w:rsid w:val="007E3B77"/>
    <w:pPr>
      <w:ind w:left="720"/>
      <w:contextualSpacing w:val="1"/>
    </w:pPr>
  </w:style>
  <w:style w:type="character" w:styleId="Hypertextovodkaz">
    <w:name w:val="Hyperlink"/>
    <w:basedOn w:val="Standardnpsmoodstavce"/>
    <w:uiPriority w:val="99"/>
    <w:unhideWhenUsed w:val="1"/>
    <w:rsid w:val="00F73C50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 w:val="1"/>
    <w:unhideWhenUsed w:val="1"/>
    <w:rsid w:val="00F73C50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.png"/><Relationship Id="rId20" Type="http://schemas.openxmlformats.org/officeDocument/2006/relationships/image" Target="media/image24.png"/><Relationship Id="rId22" Type="http://schemas.openxmlformats.org/officeDocument/2006/relationships/image" Target="media/image10.png"/><Relationship Id="rId21" Type="http://schemas.openxmlformats.org/officeDocument/2006/relationships/image" Target="media/image16.png"/><Relationship Id="rId24" Type="http://schemas.openxmlformats.org/officeDocument/2006/relationships/image" Target="media/image21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moodle.fel.cvut.cz/pluginfile.php/206086/mod_resource/content/4/filtry_synteza.pdf" TargetMode="External"/><Relationship Id="rId26" Type="http://schemas.openxmlformats.org/officeDocument/2006/relationships/image" Target="media/image4.png"/><Relationship Id="rId25" Type="http://schemas.openxmlformats.org/officeDocument/2006/relationships/image" Target="media/image23.png"/><Relationship Id="rId28" Type="http://schemas.openxmlformats.org/officeDocument/2006/relationships/image" Target="media/image2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7.png"/><Relationship Id="rId7" Type="http://schemas.openxmlformats.org/officeDocument/2006/relationships/hyperlink" Target="https://moodle.fel.cvut.cz/pluginfile.php/206067/mod_resource/content/6/systemy.pdf" TargetMode="External"/><Relationship Id="rId8" Type="http://schemas.openxmlformats.org/officeDocument/2006/relationships/hyperlink" Target="https://moodle.fel.cvut.cz/pluginfile.php/206077/mod_resource/content/6/filtry_prenosy.pdf" TargetMode="External"/><Relationship Id="rId31" Type="http://schemas.openxmlformats.org/officeDocument/2006/relationships/image" Target="media/image22.png"/><Relationship Id="rId30" Type="http://schemas.openxmlformats.org/officeDocument/2006/relationships/image" Target="media/image15.png"/><Relationship Id="rId11" Type="http://schemas.openxmlformats.org/officeDocument/2006/relationships/image" Target="media/image28.png"/><Relationship Id="rId33" Type="http://schemas.openxmlformats.org/officeDocument/2006/relationships/image" Target="media/image19.png"/><Relationship Id="rId10" Type="http://schemas.openxmlformats.org/officeDocument/2006/relationships/image" Target="media/image3.png"/><Relationship Id="rId32" Type="http://schemas.openxmlformats.org/officeDocument/2006/relationships/image" Target="media/image20.png"/><Relationship Id="rId13" Type="http://schemas.openxmlformats.org/officeDocument/2006/relationships/image" Target="media/image25.png"/><Relationship Id="rId35" Type="http://schemas.openxmlformats.org/officeDocument/2006/relationships/image" Target="media/image8.png"/><Relationship Id="rId12" Type="http://schemas.openxmlformats.org/officeDocument/2006/relationships/image" Target="media/image18.png"/><Relationship Id="rId34" Type="http://schemas.openxmlformats.org/officeDocument/2006/relationships/image" Target="media/image13.png"/><Relationship Id="rId15" Type="http://schemas.openxmlformats.org/officeDocument/2006/relationships/image" Target="media/image7.png"/><Relationship Id="rId37" Type="http://schemas.openxmlformats.org/officeDocument/2006/relationships/image" Target="media/image31.png"/><Relationship Id="rId14" Type="http://schemas.openxmlformats.org/officeDocument/2006/relationships/image" Target="media/image6.png"/><Relationship Id="rId36" Type="http://schemas.openxmlformats.org/officeDocument/2006/relationships/image" Target="media/image29.png"/><Relationship Id="rId17" Type="http://schemas.openxmlformats.org/officeDocument/2006/relationships/image" Target="media/image30.png"/><Relationship Id="rId39" Type="http://schemas.openxmlformats.org/officeDocument/2006/relationships/image" Target="media/image11.png"/><Relationship Id="rId16" Type="http://schemas.openxmlformats.org/officeDocument/2006/relationships/image" Target="media/image17.png"/><Relationship Id="rId38" Type="http://schemas.openxmlformats.org/officeDocument/2006/relationships/image" Target="media/image5.png"/><Relationship Id="rId19" Type="http://schemas.openxmlformats.org/officeDocument/2006/relationships/image" Target="media/image26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x+u4szauaSX3hipmIGJsc2hu2dA==">AMUW2mX+2d5Pf4lDZaSVtoVCbSRJkB5S95uvUWCWJoF22eOe4JtAb5yd8/4Wc3bJ6MBh/DMqQbD1d64002nNf/QhK4PL9WvFEgRslZ5pmMrVAckgujiLjV2nxghHwtvxECgnQC+SjH58/QSl1chNHKJXVMLVbg02qKAtqiaW4o+ytG8387uMeXHfPrsP6Tzx2z7Zdcy+yMq1wwjZXoRhDzBebbA7OLj3zw==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2021-03-27T14:48:00Z</dcterms:created>
  <dc:creator>Ivana Chrtková</dc:creator>
</cp:coreProperties>
</file>