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FPT – otázky pro test</w:t>
      </w:r>
    </w:p>
    <w:p w:rsidR="00000000" w:rsidDel="00000000" w:rsidP="00000000" w:rsidRDefault="00000000" w:rsidRPr="00000000" w14:paraId="00000002">
      <w:pPr>
        <w:pStyle w:val="Heading1"/>
        <w:numPr>
          <w:ilvl w:val="0"/>
          <w:numId w:val="7"/>
        </w:numPr>
        <w:ind w:left="432" w:hanging="4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Bohrův kvantový model atomu.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3107055</wp:posOffset>
            </wp:positionH>
            <wp:positionV relativeFrom="paragraph">
              <wp:posOffset>161290</wp:posOffset>
            </wp:positionV>
            <wp:extent cx="2559050" cy="1682750"/>
            <wp:effectExtent b="0" l="0" r="0" t="0"/>
            <wp:wrapSquare wrapText="bothSides" distB="0" distT="0" distL="114300" distR="114300"/>
            <wp:docPr id="2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1682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Schématické znázornění stavby atomu.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Podle Bohrova modelu obíhají elektrony kolem jádra pouze po kvantovaných diskrétních dráhách, na nichž nevyzařují.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Při přeskoku elektronu z vyšší na nižší dráhu se příslušný rozdíl energií vyzáří jako kvantum (foton) elektromagnetického záření.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numPr>
          <w:ilvl w:val="0"/>
          <w:numId w:val="7"/>
        </w:numPr>
        <w:ind w:left="432" w:hanging="4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Protonové číslo, nukleonové číslo.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4642089" cy="1397072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1397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2364638" cy="385987"/>
            <wp:effectExtent b="0" l="0" r="0" t="0"/>
            <wp:docPr descr="Obsah obrázku text&#10;&#10;Popis byl vytvořen automaticky" id="28" name="image35.png"/>
            <a:graphic>
              <a:graphicData uri="http://schemas.openxmlformats.org/drawingml/2006/picture">
                <pic:pic>
                  <pic:nvPicPr>
                    <pic:cNvPr descr="Obsah obrázku text&#10;&#10;Popis byl vytvořen automaticky"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4638" cy="385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349773" cy="376741"/>
            <wp:effectExtent b="0" l="0" r="0" t="0"/>
            <wp:docPr descr="Obsah obrázku text&#10;&#10;Popis byl vytvořen automaticky" id="30" name="image45.png"/>
            <a:graphic>
              <a:graphicData uri="http://schemas.openxmlformats.org/drawingml/2006/picture">
                <pic:pic>
                  <pic:nvPicPr>
                    <pic:cNvPr descr="Obsah obrázku text&#10;&#10;Popis byl vytvořen automaticky" id="0" name="image4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9773" cy="376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numPr>
          <w:ilvl w:val="0"/>
          <w:numId w:val="7"/>
        </w:numPr>
        <w:ind w:left="432" w:hanging="4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Radioaktivita a její jednotka.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4033520</wp:posOffset>
            </wp:positionH>
            <wp:positionV relativeFrom="paragraph">
              <wp:posOffset>245109</wp:posOffset>
            </wp:positionV>
            <wp:extent cx="1467167" cy="982256"/>
            <wp:effectExtent b="0" l="0" r="0" t="0"/>
            <wp:wrapSquare wrapText="bothSides" distB="0" distT="0" distL="114300" distR="11430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7167" cy="982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Radioaktivita je jev, kdy dochází k samovolné vnitřní přeměně atomových jader, přičemž je emitováno vysokoenergetické záření.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Jádra vykazující tuto vlastnost se nazývají radionuklidy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Radioaktivní aktivita - definována jako počet jader, který se přeměňuje za jednotku času, nebo ekvivalentně jako úbytek počtu jader (dosud nepřeměněných) za jednotku času.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793791" cy="565179"/>
            <wp:effectExtent b="0" l="0" r="0" t="0"/>
            <wp:docPr descr="Obsah obrázku text&#10;&#10;Popis byl vytvořen automaticky" id="33" name="image25.png"/>
            <a:graphic>
              <a:graphicData uri="http://schemas.openxmlformats.org/drawingml/2006/picture">
                <pic:pic>
                  <pic:nvPicPr>
                    <pic:cNvPr descr="Obsah obrázku text&#10;&#10;Popis byl vytvořen automaticky"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3791" cy="565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836964" cy="184406"/>
            <wp:effectExtent b="0" l="0" r="0" t="0"/>
            <wp:docPr descr="Obsah obrázku text, oranžová, tmavé&#10;&#10;Popis byl vytvořen automaticky" id="32" name="image15.png"/>
            <a:graphic>
              <a:graphicData uri="http://schemas.openxmlformats.org/drawingml/2006/picture">
                <pic:pic>
                  <pic:nvPicPr>
                    <pic:cNvPr descr="Obsah obrázku text, oranžová, tmavé&#10;&#10;Popis byl vytvořen automaticky"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6964" cy="184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Jednotka aktivity: [A]= 1 Bq, odpovidá 1 přeměně za 1 sekundu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Stará jednotka: 1 Ci (= 3,7*1010 Bq), 1 Ci byla zavedena jako aktivita 1g 226Ra</w:t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7"/>
        </w:numPr>
        <w:ind w:left="432" w:hanging="4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Poločas rozpadu.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4554855</wp:posOffset>
            </wp:positionH>
            <wp:positionV relativeFrom="paragraph">
              <wp:posOffset>111760</wp:posOffset>
            </wp:positionV>
            <wp:extent cx="1708150" cy="1301115"/>
            <wp:effectExtent b="0" l="0" r="0" t="0"/>
            <wp:wrapSquare wrapText="bothSides" distB="0" distT="0" distL="114300" distR="11430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3011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Čas, za který se rozpadne právě polovina původního množství jader N(T1/2) = No/2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372461" cy="184111"/>
            <wp:effectExtent b="0" l="0" r="0" t="0"/>
            <wp:docPr id="3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32019" l="0" r="0" t="16409"/>
                    <a:stretch>
                      <a:fillRect/>
                    </a:stretch>
                  </pic:blipFill>
                  <pic:spPr>
                    <a:xfrm>
                      <a:off x="0" y="0"/>
                      <a:ext cx="1372461" cy="184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, λ = rozpadová konstanta, pravděpodobnost, s jakou se jádro daného druhu rozpadne za jednotku času.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T1/2 = poločas rozpadu,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028753" cy="152408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753" cy="152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numPr>
          <w:ilvl w:val="0"/>
          <w:numId w:val="7"/>
        </w:numPr>
        <w:ind w:left="432" w:hanging="4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Druhy radioaktivity.</w:t>
      </w:r>
    </w:p>
    <w:p w:rsidR="00000000" w:rsidDel="00000000" w:rsidP="00000000" w:rsidRDefault="00000000" w:rsidRPr="00000000" w14:paraId="00000016">
      <w:pPr>
        <w:pStyle w:val="Heading2"/>
        <w:numPr>
          <w:ilvl w:val="1"/>
          <w:numId w:val="7"/>
        </w:numPr>
        <w:ind w:left="576" w:hanging="576"/>
        <w:rPr/>
      </w:pPr>
      <w:r w:rsidDel="00000000" w:rsidR="00000000" w:rsidRPr="00000000">
        <w:rPr>
          <w:rtl w:val="0"/>
        </w:rPr>
        <w:t xml:space="preserve">Alfa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0" distT="0" distL="0" distR="0">
            <wp:extent cx="1892397" cy="1270065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1270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143059" cy="1200212"/>
            <wp:effectExtent b="0" l="0" r="0" t="0"/>
            <wp:docPr id="3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59" cy="1200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841595" cy="317516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1595" cy="317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numPr>
          <w:ilvl w:val="1"/>
          <w:numId w:val="7"/>
        </w:numPr>
        <w:ind w:left="576" w:hanging="576"/>
        <w:rPr/>
      </w:pPr>
      <w:r w:rsidDel="00000000" w:rsidR="00000000" w:rsidRPr="00000000">
        <w:rPr>
          <w:rtl w:val="0"/>
        </w:rPr>
        <w:t xml:space="preserve">Beta-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2235315" cy="1695537"/>
            <wp:effectExtent b="0" l="0" r="0" t="0"/>
            <wp:docPr id="3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1695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422473" cy="603281"/>
            <wp:effectExtent b="0" l="0" r="0" t="0"/>
            <wp:docPr id="4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2473" cy="603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numPr>
          <w:ilvl w:val="1"/>
          <w:numId w:val="7"/>
        </w:numPr>
        <w:ind w:left="576" w:hanging="576"/>
        <w:rPr/>
      </w:pPr>
      <w:r w:rsidDel="00000000" w:rsidR="00000000" w:rsidRPr="00000000">
        <w:rPr>
          <w:rtl w:val="0"/>
        </w:rPr>
        <w:t xml:space="preserve">Beta+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2622685" cy="1816193"/>
            <wp:effectExtent b="0" l="0" r="0" t="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2685" cy="1816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390721" cy="635033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721" cy="635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numPr>
          <w:ilvl w:val="1"/>
          <w:numId w:val="7"/>
        </w:numPr>
        <w:ind w:left="576" w:hanging="576"/>
        <w:rPr/>
      </w:pPr>
      <w:r w:rsidDel="00000000" w:rsidR="00000000" w:rsidRPr="00000000">
        <w:rPr>
          <w:rtl w:val="0"/>
        </w:rPr>
        <w:t xml:space="preserve">Beta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0" distT="0" distL="0" distR="0">
            <wp:extent cx="2870348" cy="1809843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0348" cy="1809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485976" cy="501676"/>
            <wp:effectExtent b="0" l="0" r="0" t="0"/>
            <wp:docPr id="4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976" cy="501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638737" cy="279414"/>
            <wp:effectExtent b="0" l="0" r="0" t="0"/>
            <wp:docPr id="4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279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numPr>
          <w:ilvl w:val="1"/>
          <w:numId w:val="7"/>
        </w:numPr>
        <w:ind w:left="576" w:hanging="576"/>
        <w:rPr/>
      </w:pPr>
      <w:r w:rsidDel="00000000" w:rsidR="00000000" w:rsidRPr="00000000">
        <w:rPr>
          <w:rtl w:val="0"/>
        </w:rPr>
        <w:t xml:space="preserve">Gama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3283119" cy="137167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1371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3441877" cy="1987652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1987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7"/>
        </w:numPr>
        <w:ind w:left="432" w:hanging="4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Anihilace pozitronu.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4292821" cy="2514729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2514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7"/>
        </w:numPr>
        <w:ind w:left="432" w:hanging="4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Energie fotonu.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3937202" cy="1085906"/>
            <wp:effectExtent b="0" l="0" r="0" t="0"/>
            <wp:docPr descr="Obsah obrázku text&#10;&#10;Popis byl vytvořen automaticky" id="19" name="image24.png"/>
            <a:graphic>
              <a:graphicData uri="http://schemas.openxmlformats.org/drawingml/2006/picture">
                <pic:pic>
                  <pic:nvPicPr>
                    <pic:cNvPr descr="Obsah obrázku text&#10;&#10;Popis byl vytvořen automaticky"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7202" cy="1085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7"/>
        </w:numPr>
        <w:ind w:left="432" w:hanging="4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Charakteristické záření a jeho energetické spektrum.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Záření X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324219" cy="2070206"/>
            <wp:effectExtent b="0" l="0" r="0" t="0"/>
            <wp:docPr id="2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2070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343623" cy="1219263"/>
            <wp:effectExtent b="0" l="0" r="0" t="0"/>
            <wp:docPr id="2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1219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765391" cy="252743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5391" cy="2527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numPr>
          <w:ilvl w:val="0"/>
          <w:numId w:val="7"/>
        </w:numPr>
        <w:ind w:left="432" w:hanging="4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Brzdné záření a jeho energetické spektrum.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Záření X se spojitým energetickým spektrem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828894" cy="1689187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94" cy="1689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191215" cy="876345"/>
            <wp:effectExtent b="0" l="0" r="0" t="0"/>
            <wp:docPr descr="Obsah obrázku text, interiér&#10;&#10;Popis byl vytvořen automaticky" id="25" name="image26.png"/>
            <a:graphic>
              <a:graphicData uri="http://schemas.openxmlformats.org/drawingml/2006/picture">
                <pic:pic>
                  <pic:nvPicPr>
                    <pic:cNvPr descr="Obsah obrázku text, interiér&#10;&#10;Popis byl vytvořen automaticky"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876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565532" cy="2108308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532" cy="2108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numPr>
          <w:ilvl w:val="0"/>
          <w:numId w:val="7"/>
        </w:numPr>
        <w:ind w:left="432" w:hanging="4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Energetické spektrum radioaktivních izotopů.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0" distT="0" distL="0" distR="0">
            <wp:extent cx="2535330" cy="1409891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5330" cy="1409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numPr>
          <w:ilvl w:val="0"/>
          <w:numId w:val="7"/>
        </w:numPr>
        <w:ind w:left="432" w:hanging="4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Zdroje ionizujícího záření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Rentgenka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Rentgenová zobrazovací zařízení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Rentgenová terapeutická zařízení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Rozpadající se radioaktivní látka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Radioizotopové zdroje používané v terapii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Radioizotopové zdroje používané v diagnostice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Radioaktivní zářiče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Přírodní radionuklidy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Uměle vyrobené radionuklidy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Např. Co-60, Ir-192, Cs-137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Generátory záření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Rentgenky, Lineární urychlovače, cyklotrony, synchrotrony, betatrony</w:t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7"/>
        </w:numPr>
        <w:ind w:left="432" w:hanging="4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Fotoefekt.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0" distT="0" distL="0" distR="0">
            <wp:extent cx="4813547" cy="252108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2521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7"/>
        </w:numPr>
        <w:ind w:left="432" w:hanging="4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Comptonův rozptyl.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0" distT="0" distL="0" distR="0">
            <wp:extent cx="4794496" cy="2775093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4496" cy="2775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7"/>
        </w:numPr>
        <w:ind w:left="432" w:hanging="4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Tvorba elektron-pozitronových párů.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0" distT="0" distL="0" distR="0">
            <wp:extent cx="4330923" cy="2775093"/>
            <wp:effectExtent b="0" l="0" r="0" t="0"/>
            <wp:docPr id="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2775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0" distT="0" distL="0" distR="0">
            <wp:extent cx="4946904" cy="2806844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2806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numPr>
          <w:ilvl w:val="0"/>
          <w:numId w:val="7"/>
        </w:numPr>
        <w:ind w:left="432" w:hanging="432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Hloubková závislost ionizace urychlenými elektrony, protony, fotony.</w:t>
      </w:r>
    </w:p>
    <w:p w:rsidR="00000000" w:rsidDel="00000000" w:rsidP="00000000" w:rsidRDefault="00000000" w:rsidRPr="00000000" w14:paraId="00000046">
      <w:pPr>
        <w:ind w:left="432" w:firstLine="0"/>
        <w:rPr/>
      </w:pP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https://astronuklfyzika.cz/JadRadFyzika6.htm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432" w:firstLine="0"/>
        <w:rPr/>
      </w:pPr>
      <w:r w:rsidDel="00000000" w:rsidR="00000000" w:rsidRPr="00000000">
        <w:rPr/>
        <w:drawing>
          <wp:inline distB="114300" distT="114300" distL="114300" distR="114300">
            <wp:extent cx="5760410" cy="660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432" w:firstLine="0"/>
        <w:rPr/>
      </w:pPr>
      <w:r w:rsidDel="00000000" w:rsidR="00000000" w:rsidRPr="00000000">
        <w:rPr/>
        <w:drawing>
          <wp:inline distB="114300" distT="114300" distL="114300" distR="114300">
            <wp:extent cx="1867217" cy="257932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217" cy="2579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7"/>
        </w:numPr>
        <w:ind w:left="432" w:hanging="4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Absorpce záření v látkách.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 Na čem závisí lineární součinitel zeslabení?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0" distT="0" distL="0" distR="0">
            <wp:extent cx="3860998" cy="233057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0998" cy="2330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7"/>
        </w:numPr>
        <w:ind w:left="432" w:hanging="4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Polovrstva (polotloušťka) absorpce.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0" distT="0" distL="0" distR="0">
            <wp:extent cx="3848298" cy="2330570"/>
            <wp:effectExtent b="0" l="0" r="0" t="0"/>
            <wp:docPr descr="Obsah obrázku stůl&#10;&#10;Popis byl vytvořen automaticky" id="11" name="image12.png"/>
            <a:graphic>
              <a:graphicData uri="http://schemas.openxmlformats.org/drawingml/2006/picture">
                <pic:pic>
                  <pic:nvPicPr>
                    <pic:cNvPr descr="Obsah obrázku stůl&#10;&#10;Popis byl vytvořen automaticky" id="0" name="image1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2330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numPr>
          <w:ilvl w:val="0"/>
          <w:numId w:val="7"/>
        </w:numPr>
        <w:ind w:left="432" w:hanging="4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Detektory ionizujícího záření.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Dozimetry, rtg filmy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Termoluminiscenční dozimetry (TLD)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Obsahují termoluminiscenční látku (např. fluorid vápenatý)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 TLD je zapouzdřen vzorek přesně definovaného množství dané látky.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 skončení expozice TLD látku zahřejeme na teplotu cca 160-300°C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Fotonásobič snímá emitované viditelné světlo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Elektrický signál z fotonásobiče se zaznamenává v závislosti na teplotě - vzniká tzv. vyhřívací křivka,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integrál vyhřívací křivky (plocha pod křivkou) je úměrný dávce v dozimetru.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Fotoluminiscenční dozimetry (OSL)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OSL Opticky stimulovaná luminiscence obsahuje oxid hlinitý Al2O3(:C), aktivovaný uhlíkem.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 vyhodnocování se používá ozáření světlem LED diody (o větší vlnové délce - žlutozelené světlo), přičemž vzniklá luminiscence (v kratší vlnové délce - modré světlo) detekována fotonásobičem.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Luminiscence úměrná ozáření dozimetru.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 srovnání s TLD je vyhodnocení jednodušší a reprodukovatelnějí (ozařování LED diodou se snadněji standardizuje než řízené teplotní vyhřívání)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Ionizační komora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Gieger-Můllerovy detektory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Scintilační detektory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Polovodičové detektory</w:t>
      </w:r>
    </w:p>
    <w:p w:rsidR="00000000" w:rsidDel="00000000" w:rsidP="00000000" w:rsidRDefault="00000000" w:rsidRPr="00000000" w14:paraId="00000061">
      <w:pPr>
        <w:pStyle w:val="Heading1"/>
        <w:numPr>
          <w:ilvl w:val="0"/>
          <w:numId w:val="7"/>
        </w:numPr>
        <w:ind w:left="432" w:hanging="4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Osobní dozimetry.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Termoluminescenční dozimetry (viz otázka 18)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Fotoluminiscenční dozimetry (viz otázka 18)</w:t>
      </w:r>
    </w:p>
    <w:p w:rsidR="00000000" w:rsidDel="00000000" w:rsidP="00000000" w:rsidRDefault="00000000" w:rsidRPr="00000000" w14:paraId="00000064">
      <w:pPr>
        <w:pStyle w:val="Heading1"/>
        <w:numPr>
          <w:ilvl w:val="0"/>
          <w:numId w:val="7"/>
        </w:numPr>
        <w:ind w:left="432" w:hanging="432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Přibližné hodnoty energií záření používaného:</w:t>
      </w:r>
    </w:p>
    <w:p w:rsidR="00000000" w:rsidDel="00000000" w:rsidP="00000000" w:rsidRDefault="00000000" w:rsidRPr="00000000" w14:paraId="00000065">
      <w:pPr>
        <w:ind w:left="432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podle toho co řekl na exkurzi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firstLine="576"/>
        <w:rPr/>
      </w:pPr>
      <w:r w:rsidDel="00000000" w:rsidR="00000000" w:rsidRPr="00000000">
        <w:rPr>
          <w:rtl w:val="0"/>
        </w:rPr>
        <w:t xml:space="preserve">v diagnostice - desítky až stovky keV</w:t>
      </w:r>
    </w:p>
    <w:p w:rsidR="00000000" w:rsidDel="00000000" w:rsidP="00000000" w:rsidRDefault="00000000" w:rsidRPr="00000000" w14:paraId="00000067">
      <w:pPr>
        <w:ind w:firstLine="576"/>
        <w:rPr/>
      </w:pPr>
      <w:r w:rsidDel="00000000" w:rsidR="00000000" w:rsidRPr="00000000">
        <w:rPr>
          <w:rtl w:val="0"/>
        </w:rPr>
        <w:t xml:space="preserve">v terapii - jednotky až desítky MeV</w:t>
      </w:r>
    </w:p>
    <w:p w:rsidR="00000000" w:rsidDel="00000000" w:rsidP="00000000" w:rsidRDefault="00000000" w:rsidRPr="00000000" w14:paraId="00000068">
      <w:pPr>
        <w:pStyle w:val="Heading1"/>
        <w:numPr>
          <w:ilvl w:val="0"/>
          <w:numId w:val="7"/>
        </w:numPr>
        <w:ind w:left="432" w:hanging="4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Vysvětlete pojem izocentrum.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Místo, kde se protnou záření ze všech směrů ozařovače.</w:t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877051" cy="1593932"/>
            <wp:effectExtent b="0" l="0" r="0" t="0"/>
            <wp:docPr descr="Obsah obrázku text&#10;&#10;Popis byl vytvořen automaticky" id="12" name="image2.png"/>
            <a:graphic>
              <a:graphicData uri="http://schemas.openxmlformats.org/drawingml/2006/picture">
                <pic:pic>
                  <pic:nvPicPr>
                    <pic:cNvPr descr="Obsah obrázku text&#10;&#10;Popis byl vytvořen automaticky"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593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644735" cy="204480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2044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numPr>
          <w:ilvl w:val="0"/>
          <w:numId w:val="7"/>
        </w:numPr>
        <w:ind w:left="432" w:hanging="432"/>
        <w:rPr/>
      </w:pPr>
      <w:r w:rsidDel="00000000" w:rsidR="00000000" w:rsidRPr="00000000">
        <w:rPr>
          <w:rtl w:val="0"/>
        </w:rPr>
        <w:t xml:space="preserve">Vysvětlete pojem kolimátor.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?? asi to bylo v přednášce z radioterapie</w:t>
      </w:r>
    </w:p>
    <w:p w:rsidR="00000000" w:rsidDel="00000000" w:rsidP="00000000" w:rsidRDefault="00000000" w:rsidRPr="00000000" w14:paraId="0000006D">
      <w:pPr>
        <w:rPr>
          <w:highlight w:val="lightGray"/>
        </w:rPr>
      </w:pPr>
      <w:r w:rsidDel="00000000" w:rsidR="00000000" w:rsidRPr="00000000">
        <w:rPr>
          <w:b w:val="1"/>
          <w:highlight w:val="lightGray"/>
          <w:rtl w:val="0"/>
        </w:rPr>
        <w:t xml:space="preserve">Kolimátor</w:t>
      </w:r>
      <w:r w:rsidDel="00000000" w:rsidR="00000000" w:rsidRPr="00000000">
        <w:rPr>
          <w:highlight w:val="lightGray"/>
          <w:rtl w:val="0"/>
        </w:rPr>
        <w:t xml:space="preserve"> je takové mechanické a geometrické uspořádání materiálů </w:t>
      </w:r>
      <w:r w:rsidDel="00000000" w:rsidR="00000000" w:rsidRPr="00000000">
        <w:rPr>
          <w:b w:val="1"/>
          <w:highlight w:val="lightGray"/>
          <w:rtl w:val="0"/>
        </w:rPr>
        <w:t xml:space="preserve">absorbujících</w:t>
      </w:r>
      <w:r w:rsidDel="00000000" w:rsidR="00000000" w:rsidRPr="00000000">
        <w:rPr>
          <w:highlight w:val="lightGray"/>
          <w:rtl w:val="0"/>
        </w:rPr>
        <w:t xml:space="preserve"> daný druh záření, které </w:t>
      </w:r>
      <w:r w:rsidDel="00000000" w:rsidR="00000000" w:rsidRPr="00000000">
        <w:rPr>
          <w:b w:val="1"/>
          <w:highlight w:val="lightGray"/>
          <w:rtl w:val="0"/>
        </w:rPr>
        <w:t xml:space="preserve">propouští</w:t>
      </w:r>
      <w:r w:rsidDel="00000000" w:rsidR="00000000" w:rsidRPr="00000000">
        <w:rPr>
          <w:highlight w:val="lightGray"/>
          <w:rtl w:val="0"/>
        </w:rPr>
        <w:t xml:space="preserve"> jen záření z určitých </w:t>
      </w:r>
      <w:r w:rsidDel="00000000" w:rsidR="00000000" w:rsidRPr="00000000">
        <w:rPr>
          <w:b w:val="1"/>
          <w:highlight w:val="lightGray"/>
          <w:rtl w:val="0"/>
        </w:rPr>
        <w:t xml:space="preserve">požadovaných směrů</w:t>
      </w:r>
      <w:r w:rsidDel="00000000" w:rsidR="00000000" w:rsidRPr="00000000">
        <w:rPr>
          <w:highlight w:val="lightGray"/>
          <w:rtl w:val="0"/>
        </w:rPr>
        <w:t xml:space="preserve"> (úhlů), zatímco záření z jiných směrů absorbuje a nepropouští **).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sz w:val="20"/>
          <w:szCs w:val="20"/>
          <w:highlight w:val="lightGray"/>
          <w:rtl w:val="0"/>
        </w:rPr>
        <w:t xml:space="preserve">**) Takové absolutně ostré kolimace však v praxi nelze vždy dosáhnout. U pronikavého vysokoenergetického záření g dochází v okrajových hranách kolimátoru k částečnému </w:t>
      </w:r>
      <w:r w:rsidDel="00000000" w:rsidR="00000000" w:rsidRPr="00000000">
        <w:rPr>
          <w:b w:val="1"/>
          <w:sz w:val="20"/>
          <w:szCs w:val="20"/>
          <w:highlight w:val="lightGray"/>
          <w:rtl w:val="0"/>
        </w:rPr>
        <w:t xml:space="preserve">prozařování</w:t>
      </w:r>
      <w:r w:rsidDel="00000000" w:rsidR="00000000" w:rsidRPr="00000000">
        <w:rPr>
          <w:sz w:val="20"/>
          <w:szCs w:val="20"/>
          <w:highlight w:val="lightGray"/>
          <w:rtl w:val="0"/>
        </w:rPr>
        <w:t xml:space="preserve">, což v okrajových částech kolimovaného svazku vytváří jakýsi "</w:t>
      </w:r>
      <w:r w:rsidDel="00000000" w:rsidR="00000000" w:rsidRPr="00000000">
        <w:rPr>
          <w:b w:val="1"/>
          <w:sz w:val="20"/>
          <w:szCs w:val="20"/>
          <w:highlight w:val="lightGray"/>
          <w:rtl w:val="0"/>
        </w:rPr>
        <w:t xml:space="preserve">polostín</w:t>
      </w:r>
      <w:r w:rsidDel="00000000" w:rsidR="00000000" w:rsidRPr="00000000">
        <w:rPr>
          <w:sz w:val="20"/>
          <w:szCs w:val="20"/>
          <w:highlight w:val="lightGray"/>
          <w:rtl w:val="0"/>
        </w:rPr>
        <w:t xml:space="preserve">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numPr>
          <w:ilvl w:val="0"/>
          <w:numId w:val="7"/>
        </w:numPr>
        <w:ind w:left="432" w:hanging="432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Co se vždy zakresluje do ozařovacího plánu?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?? asi to bylo v přednášce z radioterapie</w:t>
      </w:r>
    </w:p>
    <w:p w:rsidR="00000000" w:rsidDel="00000000" w:rsidP="00000000" w:rsidRDefault="00000000" w:rsidRPr="00000000" w14:paraId="00000071">
      <w:pPr>
        <w:rPr/>
      </w:pP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https://www.astronuklfyzika.cz/JadRadMetody.htm#PlanovaniRadioterapie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60410" cy="81280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numPr>
          <w:ilvl w:val="0"/>
          <w:numId w:val="7"/>
        </w:numPr>
        <w:ind w:left="432" w:hanging="432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Závislost procentuální hloubkové dávky na energii záření.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??? něco z přednášky z radioterapie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tipuju, že čím vyšší energie tím vyšší dávka a větší hloubka maxima</w:t>
      </w:r>
    </w:p>
    <w:p w:rsidR="00000000" w:rsidDel="00000000" w:rsidP="00000000" w:rsidRDefault="00000000" w:rsidRPr="00000000" w14:paraId="00000076">
      <w:pPr>
        <w:pStyle w:val="Heading1"/>
        <w:numPr>
          <w:ilvl w:val="0"/>
          <w:numId w:val="7"/>
        </w:numPr>
        <w:ind w:left="432" w:hanging="4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Závislost procentuální hloubkové dávky na velikosti ozařovacího pole.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0" distT="0" distL="0" distR="0">
            <wp:extent cx="5080261" cy="3283119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3283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numPr>
          <w:ilvl w:val="0"/>
          <w:numId w:val="7"/>
        </w:numPr>
        <w:ind w:left="432" w:hanging="4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Způsoby ochrany před Ionizujícím zářením.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 – minimalizace doby ozařování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Obdržená dávka je přímoúměrná době expozice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Vzdálenost – intenzita ozáření klesá s 2. mocninou vzdálenosti od zdroje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Stínění – zeslabuje účinek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Alpha – papír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Elektron/pozitron – hliník/měď fólie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Gama – větší vrstva těžkého kovu (olovo, wolfram)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Neutron - beton</w:t>
      </w:r>
    </w:p>
    <w:p w:rsidR="00000000" w:rsidDel="00000000" w:rsidP="00000000" w:rsidRDefault="00000000" w:rsidRPr="00000000" w14:paraId="00000081">
      <w:pPr>
        <w:pStyle w:val="Heading1"/>
        <w:numPr>
          <w:ilvl w:val="0"/>
          <w:numId w:val="7"/>
        </w:numPr>
        <w:ind w:left="432" w:hanging="4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Biologické účinky ionizujícího záření.</w:t>
      </w:r>
    </w:p>
    <w:p w:rsidR="00000000" w:rsidDel="00000000" w:rsidP="00000000" w:rsidRDefault="00000000" w:rsidRPr="00000000" w14:paraId="00000082">
      <w:pPr>
        <w:pStyle w:val="Subtitle"/>
        <w:rPr/>
      </w:pPr>
      <w:r w:rsidDel="00000000" w:rsidR="00000000" w:rsidRPr="00000000">
        <w:rPr>
          <w:rtl w:val="0"/>
        </w:rPr>
        <w:t xml:space="preserve">Deterministické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Důsledek zániku buněk, který vede na ztrátu funkce tkáně/orgánu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Záhy po ozáření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Klinicky jednoznačný projev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Ví se že vzniklo po ozáření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Nastává po dosažení prahu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 prahem nevzniká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nad prahem platí – čím vyšší dávka tím horší účinek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Ochrana – pro úplné vyloučení zamezíme dosažení prahových dávek</w:t>
      </w:r>
    </w:p>
    <w:p w:rsidR="00000000" w:rsidDel="00000000" w:rsidP="00000000" w:rsidRDefault="00000000" w:rsidRPr="00000000" w14:paraId="0000008B">
      <w:pPr>
        <w:pStyle w:val="Subtitle"/>
        <w:rPr/>
      </w:pPr>
      <w:r w:rsidDel="00000000" w:rsidR="00000000" w:rsidRPr="00000000">
        <w:rPr>
          <w:rtl w:val="0"/>
        </w:rPr>
        <w:t xml:space="preserve">Stochastické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 </w:t>
      </w:r>
      <w:r w:rsidDel="00000000" w:rsidR="00000000" w:rsidRPr="00000000">
        <w:rPr>
          <w:rtl w:val="0"/>
        </w:rPr>
        <w:t xml:space="preserve">důsledku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změn v buňkách vystavených záření, které ale toto ozařování přežily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Projevují se po delší době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Buňka se může stát zdrojem nádorového bujení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Neexistuje žádná prahová dávka -&gt; žádná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dávka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není z tohoto pohledu bezpečná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 rostoucí dávkou roste riziko vzniku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Nelze odlišit od spontánních výskytů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Projevuje se i po letech – i v další generaci (skrze geny)</w:t>
      </w:r>
    </w:p>
    <w:p w:rsidR="00000000" w:rsidDel="00000000" w:rsidP="00000000" w:rsidRDefault="00000000" w:rsidRPr="00000000" w14:paraId="00000093">
      <w:pPr>
        <w:pStyle w:val="Heading1"/>
        <w:numPr>
          <w:ilvl w:val="0"/>
          <w:numId w:val="7"/>
        </w:numPr>
        <w:ind w:left="432" w:hanging="4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Veličiny a jednotky používané v radiační ochraně.</w:t>
      </w:r>
    </w:p>
    <w:p w:rsidR="00000000" w:rsidDel="00000000" w:rsidP="00000000" w:rsidRDefault="00000000" w:rsidRPr="00000000" w14:paraId="00000094">
      <w:pPr>
        <w:pStyle w:val="Subtitle"/>
        <w:rPr/>
      </w:pPr>
      <w:r w:rsidDel="00000000" w:rsidR="00000000" w:rsidRPr="00000000">
        <w:rPr>
          <w:rtl w:val="0"/>
        </w:rPr>
        <w:t xml:space="preserve">Absorbovaná dávka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Energie absorbovaná v 1 kg tkáně</w:t>
      </w:r>
    </w:p>
    <w:p w:rsidR="00000000" w:rsidDel="00000000" w:rsidP="00000000" w:rsidRDefault="00000000" w:rsidRPr="00000000" w14:paraId="00000096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D=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E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m</m:t>
            </m:r>
          </m:den>
        </m:f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Gy=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kg</m:t>
                </m:r>
              </m:den>
            </m:f>
            <m:r>
              <w:rPr>
                <w:rFonts w:ascii="Cambria Math" w:cs="Cambria Math" w:eastAsia="Cambria Math" w:hAnsi="Cambria Math"/>
              </w:rPr>
              <m:t xml:space="preserve">=Gray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Subtitle"/>
        <w:rPr/>
      </w:pPr>
      <w:r w:rsidDel="00000000" w:rsidR="00000000" w:rsidRPr="00000000">
        <w:rPr>
          <w:rtl w:val="0"/>
        </w:rPr>
        <w:t xml:space="preserve">Ekvivalentní dávka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Střední absorbovaná dávka… prezentace</w:t>
      </w:r>
    </w:p>
    <w:p w:rsidR="00000000" w:rsidDel="00000000" w:rsidP="00000000" w:rsidRDefault="00000000" w:rsidRPr="00000000" w14:paraId="00000099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T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T</m:t>
            </m:r>
          </m:sub>
        </m:sSub>
        <m:r>
          <w:rPr>
            <w:rFonts w:ascii="Cambria Math" w:cs="Cambria Math" w:eastAsia="Cambria Math" w:hAnsi="Cambria Math"/>
          </w:rPr>
          <m:t>∙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r</m:t>
            </m:r>
          </m:sub>
        </m:sSub>
        <m:r>
          <w:rPr>
            <w:rFonts w:ascii="Cambria Math" w:cs="Cambria Math" w:eastAsia="Cambria Math" w:hAnsi="Cambria Math"/>
          </w:rPr>
          <m:t xml:space="preserve">=[Sv]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Subtitle"/>
        <w:rPr/>
      </w:pPr>
      <w:r w:rsidDel="00000000" w:rsidR="00000000" w:rsidRPr="00000000">
        <w:rPr>
          <w:rtl w:val="0"/>
        </w:rPr>
        <w:t xml:space="preserve">Efektivní dávka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….prezentace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3972242" cy="2120718"/>
            <wp:effectExtent b="0" l="0" r="0" t="0"/>
            <wp:docPr id="3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2242" cy="2120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numPr>
          <w:ilvl w:val="0"/>
          <w:numId w:val="7"/>
        </w:numPr>
        <w:ind w:left="432" w:hanging="4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Vysvětlete princip ALARA.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Tak nízká – dávka ozáření – počet osob vystavených ozáření – pravděpodobnost ozáření –,  jak lze rozumně dosáhnout.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Tzn. Neozařovat více než je nutné, ale tak aby to bylo dostatečné.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4124008" cy="1942714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008" cy="1942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numPr>
          <w:ilvl w:val="0"/>
          <w:numId w:val="7"/>
        </w:numPr>
        <w:ind w:left="432" w:hanging="4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Základní limity radiačních dávek.</w:t>
      </w:r>
    </w:p>
    <w:tbl>
      <w:tblPr>
        <w:tblStyle w:val="Table1"/>
        <w:tblW w:w="90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20"/>
        <w:gridCol w:w="3021"/>
        <w:gridCol w:w="3021"/>
        <w:tblGridChange w:id="0">
          <w:tblGrid>
            <w:gridCol w:w="3020"/>
            <w:gridCol w:w="3021"/>
            <w:gridCol w:w="302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  <w:t xml:space="preserve">5 po sobě následujících let</w:t>
            </w:r>
          </w:p>
        </w:tc>
        <w:tc>
          <w:tcPr/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V 1 roce za předpokladu dodržení 5letého limitu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Pracovník</w:t>
            </w:r>
          </w:p>
        </w:tc>
        <w:tc>
          <w:tcPr/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20 mSv</w:t>
            </w:r>
          </w:p>
        </w:tc>
        <w:tc>
          <w:tcPr/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50 mSv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Ostatní obyvatelstvo</w:t>
            </w:r>
          </w:p>
        </w:tc>
        <w:tc>
          <w:tcPr/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 xml:space="preserve">1 mSv</w:t>
            </w:r>
          </w:p>
        </w:tc>
        <w:tc>
          <w:tcPr/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 xml:space="preserve">5 mSv</w:t>
            </w:r>
          </w:p>
        </w:tc>
      </w:tr>
    </w:tbl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Limity se nevztahují na lékařské ozáření a přírodní zdroje.</w:t>
      </w:r>
    </w:p>
    <w:p w:rsidR="00000000" w:rsidDel="00000000" w:rsidP="00000000" w:rsidRDefault="00000000" w:rsidRPr="00000000" w14:paraId="000000AC">
      <w:pPr>
        <w:pStyle w:val="Heading1"/>
        <w:numPr>
          <w:ilvl w:val="0"/>
          <w:numId w:val="7"/>
        </w:numPr>
        <w:ind w:left="432" w:hanging="4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Sledované pásmo se zdroji IZ.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vymezuje se všude tam, kde se očekává, že efektivní dávka by mohla být vyšší než 1 mSv/rok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pouze monitorování pracoviště 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Označené radioaktivním trojúhelníkem</w:t>
      </w:r>
    </w:p>
    <w:p w:rsidR="00000000" w:rsidDel="00000000" w:rsidP="00000000" w:rsidRDefault="00000000" w:rsidRPr="00000000" w14:paraId="000000B0">
      <w:pPr>
        <w:pStyle w:val="Heading1"/>
        <w:numPr>
          <w:ilvl w:val="0"/>
          <w:numId w:val="7"/>
        </w:numPr>
        <w:ind w:left="432" w:hanging="4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Kontrolované pásmo se zdroji IZ.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vymezuje se všude tam, kde by efektivní dávka mohla být vyšší než 6 mSv ročně, tj. vyšší než 3/10 limitu pro radiační pracovníky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vstup povolen pouze osobám poučeným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vstup zakázán těhotným ženám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radiační pracovníci musí být vybaveni osobními dozimetry, příp. ochrannými pracovními pomůckami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v KP se nesmí jíst, pít, kouřit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Označené radioaktivním trojúhelníkem</w:t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cs-CZ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ind w:left="432" w:hanging="432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ind w:left="576" w:hanging="576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  <w:ind w:left="720" w:hanging="720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  <w:ind w:left="864" w:hanging="864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  <w:ind w:left="1008" w:hanging="1008"/>
    </w:pPr>
    <w:rPr>
      <w:rFonts w:ascii="Calibri" w:cs="Calibri" w:eastAsia="Calibri" w:hAnsi="Calibri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  <w:ind w:left="1152" w:hanging="1152"/>
    </w:pPr>
    <w:rPr>
      <w:rFonts w:ascii="Calibri" w:cs="Calibri" w:eastAsia="Calibri" w:hAnsi="Calibri"/>
      <w:color w:val="1e4d78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2.png"/><Relationship Id="rId42" Type="http://schemas.openxmlformats.org/officeDocument/2006/relationships/hyperlink" Target="https://astronuklfyzika.cz/JadRadFyzika6.htm" TargetMode="External"/><Relationship Id="rId41" Type="http://schemas.openxmlformats.org/officeDocument/2006/relationships/image" Target="media/image3.png"/><Relationship Id="rId44" Type="http://schemas.openxmlformats.org/officeDocument/2006/relationships/image" Target="media/image1.png"/><Relationship Id="rId43" Type="http://schemas.openxmlformats.org/officeDocument/2006/relationships/image" Target="media/image9.png"/><Relationship Id="rId46" Type="http://schemas.openxmlformats.org/officeDocument/2006/relationships/image" Target="media/image12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48" Type="http://schemas.openxmlformats.org/officeDocument/2006/relationships/image" Target="media/image4.png"/><Relationship Id="rId47" Type="http://schemas.openxmlformats.org/officeDocument/2006/relationships/image" Target="media/image2.png"/><Relationship Id="rId49" Type="http://schemas.openxmlformats.org/officeDocument/2006/relationships/hyperlink" Target="https://www.astronuklfyzika.cz/JadRadMetody.htm#PlanovaniRadioterapie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4.png"/><Relationship Id="rId8" Type="http://schemas.openxmlformats.org/officeDocument/2006/relationships/image" Target="media/image19.png"/><Relationship Id="rId31" Type="http://schemas.openxmlformats.org/officeDocument/2006/relationships/image" Target="media/image31.png"/><Relationship Id="rId30" Type="http://schemas.openxmlformats.org/officeDocument/2006/relationships/image" Target="media/image24.png"/><Relationship Id="rId33" Type="http://schemas.openxmlformats.org/officeDocument/2006/relationships/image" Target="media/image13.png"/><Relationship Id="rId32" Type="http://schemas.openxmlformats.org/officeDocument/2006/relationships/image" Target="media/image30.png"/><Relationship Id="rId35" Type="http://schemas.openxmlformats.org/officeDocument/2006/relationships/image" Target="media/image26.png"/><Relationship Id="rId34" Type="http://schemas.openxmlformats.org/officeDocument/2006/relationships/image" Target="media/image7.png"/><Relationship Id="rId37" Type="http://schemas.openxmlformats.org/officeDocument/2006/relationships/image" Target="media/image17.png"/><Relationship Id="rId36" Type="http://schemas.openxmlformats.org/officeDocument/2006/relationships/image" Target="media/image22.png"/><Relationship Id="rId39" Type="http://schemas.openxmlformats.org/officeDocument/2006/relationships/image" Target="media/image11.png"/><Relationship Id="rId38" Type="http://schemas.openxmlformats.org/officeDocument/2006/relationships/image" Target="media/image23.png"/><Relationship Id="rId20" Type="http://schemas.openxmlformats.org/officeDocument/2006/relationships/image" Target="media/image41.png"/><Relationship Id="rId22" Type="http://schemas.openxmlformats.org/officeDocument/2006/relationships/image" Target="media/image43.png"/><Relationship Id="rId21" Type="http://schemas.openxmlformats.org/officeDocument/2006/relationships/image" Target="media/image28.png"/><Relationship Id="rId24" Type="http://schemas.openxmlformats.org/officeDocument/2006/relationships/image" Target="media/image42.png"/><Relationship Id="rId23" Type="http://schemas.openxmlformats.org/officeDocument/2006/relationships/image" Target="media/image37.png"/><Relationship Id="rId26" Type="http://schemas.openxmlformats.org/officeDocument/2006/relationships/image" Target="media/image34.png"/><Relationship Id="rId25" Type="http://schemas.openxmlformats.org/officeDocument/2006/relationships/image" Target="media/image36.png"/><Relationship Id="rId28" Type="http://schemas.openxmlformats.org/officeDocument/2006/relationships/image" Target="media/image18.png"/><Relationship Id="rId27" Type="http://schemas.openxmlformats.org/officeDocument/2006/relationships/image" Target="media/image5.png"/><Relationship Id="rId29" Type="http://schemas.openxmlformats.org/officeDocument/2006/relationships/image" Target="media/image20.png"/><Relationship Id="rId51" Type="http://schemas.openxmlformats.org/officeDocument/2006/relationships/image" Target="media/image8.png"/><Relationship Id="rId50" Type="http://schemas.openxmlformats.org/officeDocument/2006/relationships/image" Target="media/image21.png"/><Relationship Id="rId53" Type="http://schemas.openxmlformats.org/officeDocument/2006/relationships/image" Target="media/image14.png"/><Relationship Id="rId52" Type="http://schemas.openxmlformats.org/officeDocument/2006/relationships/image" Target="media/image38.png"/><Relationship Id="rId11" Type="http://schemas.openxmlformats.org/officeDocument/2006/relationships/image" Target="media/image29.png"/><Relationship Id="rId10" Type="http://schemas.openxmlformats.org/officeDocument/2006/relationships/image" Target="media/image45.png"/><Relationship Id="rId13" Type="http://schemas.openxmlformats.org/officeDocument/2006/relationships/image" Target="media/image15.png"/><Relationship Id="rId12" Type="http://schemas.openxmlformats.org/officeDocument/2006/relationships/image" Target="media/image25.png"/><Relationship Id="rId15" Type="http://schemas.openxmlformats.org/officeDocument/2006/relationships/image" Target="media/image16.png"/><Relationship Id="rId14" Type="http://schemas.openxmlformats.org/officeDocument/2006/relationships/image" Target="media/image6.png"/><Relationship Id="rId17" Type="http://schemas.openxmlformats.org/officeDocument/2006/relationships/image" Target="media/image27.png"/><Relationship Id="rId16" Type="http://schemas.openxmlformats.org/officeDocument/2006/relationships/image" Target="media/image39.png"/><Relationship Id="rId19" Type="http://schemas.openxmlformats.org/officeDocument/2006/relationships/image" Target="media/image33.png"/><Relationship Id="rId18" Type="http://schemas.openxmlformats.org/officeDocument/2006/relationships/image" Target="media/image4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qE0/mxkaQkEdr/Z2NNZFPB3ElQ==">CgMxLjA4AHIhMWs5a2kySkJvZ0J2YmhjTWp2OUwyN2daOF90MVk1VXFE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