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827b00810f06eaaec42933c337744dce6dfd3e"/>
    <w:p>
      <w:pPr>
        <w:pStyle w:val="Heading1"/>
      </w:pPr>
      <w:r>
        <w:t xml:space="preserve">Technická příloha — Ukázka IT s.r.o., homepage</w:t>
      </w:r>
    </w:p>
    <w:p>
      <w:pPr>
        <w:pStyle w:val="BlockText"/>
      </w:pPr>
      <w:r>
        <w:rPr>
          <w:b/>
          <w:bCs/>
        </w:rPr>
        <w:t xml:space="preserve">Fiktivní ukázka.</w:t>
      </w:r>
      <w:r>
        <w:t xml:space="preserve"> </w:t>
      </w:r>
      <w:r>
        <w:t xml:space="preserve">Detail k</w:t>
      </w:r>
      <w:r>
        <w:t xml:space="preserve"> </w:t>
      </w:r>
      <w:hyperlink r:id="rId9">
        <w:r>
          <w:rPr>
            <w:rStyle w:val="Hyperlink"/>
          </w:rPr>
          <w:t xml:space="preserve">auditu pro klienta</w:t>
        </w:r>
      </w:hyperlink>
      <w:r>
        <w:t xml:space="preserve"> </w:t>
      </w:r>
      <w:r>
        <w:t xml:space="preserve">— pro toho, kdo bude změny realizovat a měřit.</w:t>
      </w:r>
    </w:p>
    <w:bookmarkStart w:id="10" w:name="X76c25b6b1dc8acb5e23fed1a03f3500b4401054"/>
    <w:p>
      <w:pPr>
        <w:pStyle w:val="Heading2"/>
      </w:pPr>
      <w:r>
        <w:t xml:space="preserve">1. Data v detailu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Signál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Mobil</w:t>
            </w:r>
          </w:p>
        </w:tc>
        <w:tc>
          <w:tcPr/>
          <w:p>
            <w:pPr>
              <w:pStyle w:val="Compact"/>
            </w:pPr>
            <w:r>
              <w:t xml:space="preserve">Jistota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 (Clarity, 90 dní)</w:t>
            </w:r>
          </w:p>
        </w:tc>
        <w:tc>
          <w:tcPr/>
          <w:p>
            <w:pPr>
              <w:pStyle w:val="Compact"/>
            </w:pPr>
            <w:r>
              <w:t xml:space="preserve">2 140</w:t>
            </w:r>
          </w:p>
        </w:tc>
        <w:tc>
          <w:tcPr/>
          <w:p>
            <w:pPr>
              <w:pStyle w:val="Compact"/>
            </w:pPr>
            <w:r>
              <w:t xml:space="preserve">1 309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Dosáhli 25 % stránky</w:t>
            </w:r>
          </w:p>
        </w:tc>
        <w:tc>
          <w:tcPr/>
          <w:p>
            <w:pPr>
              <w:pStyle w:val="Compact"/>
            </w:pPr>
            <w:r>
              <w:t xml:space="preserve">42 %</w:t>
            </w:r>
          </w:p>
        </w:tc>
        <w:tc>
          <w:tcPr/>
          <w:p>
            <w:pPr>
              <w:pStyle w:val="Compact"/>
            </w:pPr>
            <w:r>
              <w:t xml:space="preserve">55 %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Dosáhli sekce „Reference"</w:t>
            </w:r>
          </w:p>
        </w:tc>
        <w:tc>
          <w:tcPr/>
          <w:p>
            <w:pPr>
              <w:pStyle w:val="Compact"/>
            </w:pPr>
            <w:r>
              <w:t xml:space="preserve">19 %</w:t>
            </w:r>
          </w:p>
        </w:tc>
        <w:tc>
          <w:tcPr/>
          <w:p>
            <w:pPr>
              <w:pStyle w:val="Compact"/>
            </w:pPr>
            <w:r>
              <w:t xml:space="preserve">24 %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Kliky na „Nezávazná poptávka"</w:t>
            </w:r>
          </w:p>
        </w:tc>
        <w:tc>
          <w:tcPr/>
          <w:p>
            <w:pPr>
              <w:pStyle w:val="Compact"/>
            </w:pPr>
            <w:r>
              <w:t xml:space="preserve">0,9 % sessions</w:t>
            </w:r>
          </w:p>
        </w:tc>
        <w:tc>
          <w:tcPr/>
          <w:p>
            <w:pPr>
              <w:pStyle w:val="Compact"/>
            </w:pPr>
            <w:r>
              <w:t xml:space="preserve">0,6 % sessions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 clicks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⚠️ směrový (málo případů)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Rage clicks / JS chyby</w:t>
            </w:r>
          </w:p>
        </w:tc>
        <w:tc>
          <w:tcPr/>
          <w:p>
            <w:pPr>
              <w:pStyle w:val="Compact"/>
            </w:pPr>
            <w:r>
              <w:t xml:space="preserve">3 / 0</w:t>
            </w:r>
          </w:p>
        </w:tc>
        <w:tc>
          <w:tcPr/>
          <w:p>
            <w:pPr>
              <w:pStyle w:val="Compact"/>
            </w:pPr>
            <w:r>
              <w:t xml:space="preserve">1 / 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Odeslané poptávky (GA4, 30 dní)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Scroll útes (desktop).</w:t>
      </w:r>
      <w:r>
        <w:t xml:space="preserve"> </w:t>
      </w:r>
      <w:r>
        <w:t xml:space="preserve">Hero má 1,4 obrazovky: fotka serverovny + nadpis „Vaše IT v bezpečných rukou". 58 % sessions skončí nebo se vrátí nahoru před první konkrétní informací.</w:t>
      </w:r>
      <w:r>
        <w:t xml:space="preserve"> </w:t>
      </w:r>
      <w:r>
        <w:rPr>
          <w:i/>
          <w:iCs/>
        </w:rPr>
        <w:t xml:space="preserve">Indikuje:</w:t>
      </w:r>
      <w:r>
        <w:t xml:space="preserve"> </w:t>
      </w:r>
      <w:r>
        <w:t xml:space="preserve">úvod neodpoví „jsem tu správně?" a nedá důvod scrollovat. Na mobilu je útes mírnější (55 % dojde do čtvrtiny), protože fotka se zmenší.</w:t>
      </w:r>
    </w:p>
    <w:p>
      <w:pPr>
        <w:pStyle w:val="BlockText"/>
      </w:pPr>
      <w:r>
        <w:t xml:space="preserve">📷 Vložit screenshot: Clarity → Heatmaps → / → Scroll map (desktop, posledních 90 dní)</w:t>
      </w:r>
    </w:p>
    <w:p>
      <w:pPr>
        <w:pStyle w:val="FirstParagraph"/>
      </w:pPr>
      <w:r>
        <w:rPr>
          <w:b/>
          <w:bCs/>
        </w:rPr>
        <w:t xml:space="preserve">Falešné afordance.</w:t>
      </w:r>
      <w:r>
        <w:t xml:space="preserve"> </w:t>
      </w:r>
      <w:r>
        <w:t xml:space="preserve">38 dead clicks na ikonách štít / hodiny / sluchátko v sekci „Proč my". Tlačítko poptávky (šedý obrys na tmavé fotce) má méně kliků než logo.</w:t>
      </w:r>
      <w:r>
        <w:t xml:space="preserve"> </w:t>
      </w:r>
      <w:r>
        <w:rPr>
          <w:i/>
          <w:iCs/>
        </w:rPr>
        <w:t xml:space="preserve">Indikuje:</w:t>
      </w:r>
      <w:r>
        <w:t xml:space="preserve"> </w:t>
      </w:r>
      <w:r>
        <w:t xml:space="preserve">lidé chtějí k bodům víc informací; CTA je vizuálně slabé a žádá velký krok brzy.</w:t>
      </w:r>
    </w:p>
    <w:p>
      <w:pPr>
        <w:pStyle w:val="BlockText"/>
      </w:pPr>
      <w:r>
        <w:t xml:space="preserve">📷 Vložit screenshot: Clarity → Heatmaps → / → Click map (desktop, posledních 90 dní)</w:t>
      </w:r>
    </w:p>
    <w:p>
      <w:pPr>
        <w:pStyle w:val="FirstParagraph"/>
      </w:pPr>
      <w:r>
        <w:rPr>
          <w:b/>
          <w:bCs/>
        </w:rPr>
        <w:t xml:space="preserve">Carousel referencí.</w:t>
      </w:r>
      <w:r>
        <w:t xml:space="preserve"> </w:t>
      </w:r>
      <w:r>
        <w:t xml:space="preserve">Autoplay po 4 s; ze 14 nahrávek s dosažením sekce se ke 3. slidu nedostal nikdo, ovládali ho 2 lidé.</w:t>
      </w:r>
      <w:r>
        <w:t xml:space="preserve"> </w:t>
      </w:r>
      <w:r>
        <w:rPr>
          <w:i/>
          <w:iCs/>
        </w:rPr>
        <w:t xml:space="preserve">Indikuje:</w:t>
      </w:r>
      <w:r>
        <w:t xml:space="preserve"> </w:t>
      </w:r>
      <w:r>
        <w:t xml:space="preserve">nejsilnější důkaz nepracuje.</w:t>
      </w:r>
    </w:p>
    <w:p>
      <w:pPr>
        <w:pStyle w:val="BlockText"/>
      </w:pPr>
      <w:r>
        <w:t xml:space="preserve">📷 Vložit screenshot: Clarity → Recordings → filtr URL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+ „dosáhl sekce Reference" → ukázka nahrávky (desktop)</w:t>
      </w:r>
    </w:p>
    <w:p>
      <w:pPr>
        <w:pStyle w:val="FirstParagraph"/>
      </w:pPr>
      <w:r>
        <w:rPr>
          <w:b/>
          <w:bCs/>
        </w:rPr>
        <w:t xml:space="preserve">Formulář.</w:t>
      </w:r>
      <w:r>
        <w:t xml:space="preserve"> </w:t>
      </w:r>
      <w:r>
        <w:t xml:space="preserve">Dosáhne ho 11 % desktop sessions; z nich 23 % začne vyplňovat a 9 % dokončí. Největší odpad u povinného selectu „Počet zaměstnanců".</w:t>
      </w:r>
      <w:r>
        <w:t xml:space="preserve"> </w:t>
      </w:r>
      <w:r>
        <w:rPr>
          <w:i/>
          <w:iCs/>
        </w:rPr>
        <w:t xml:space="preserve">Indikuje:</w:t>
      </w:r>
      <w:r>
        <w:t xml:space="preserve"> </w:t>
      </w:r>
      <w:r>
        <w:t xml:space="preserve">formulář je nízko a kvalifikuje příliš brzy.</w:t>
      </w:r>
    </w:p>
    <w:p>
      <w:pPr>
        <w:pStyle w:val="BlockText"/>
      </w:pPr>
      <w:r>
        <w:t xml:space="preserve">📷 Vložit screenshot: Clarity → Heatmaps → / → Click map, oblast formuláře (desktop)</w:t>
      </w:r>
    </w:p>
    <w:bookmarkEnd w:id="10"/>
    <w:bookmarkStart w:id="11" w:name="Xc763ca73126b52eeec859f3a49326c5c1de2db1"/>
    <w:p>
      <w:pPr>
        <w:pStyle w:val="Heading2"/>
      </w:pPr>
      <w:r>
        <w:t xml:space="preserve">2. Struktura stránky</w:t>
      </w:r>
    </w:p>
    <w:p>
      <w:pPr>
        <w:pStyle w:val="FirstParagraph"/>
      </w:pPr>
      <w:r>
        <w:rPr>
          <w:b/>
          <w:bCs/>
        </w:rPr>
        <w:t xml:space="preserve">Desktop dnes:</w:t>
      </w:r>
    </w:p>
    <w:p>
      <w:pPr>
        <w:pStyle w:val="Compact"/>
        <w:numPr>
          <w:ilvl w:val="0"/>
          <w:numId w:val="1001"/>
        </w:numPr>
      </w:pPr>
      <w:r>
        <w:t xml:space="preserve">Hero — fotka, obecný nadpis, tlačítko „Nezávazná poptávka"</w:t>
      </w:r>
      <w:r>
        <w:t xml:space="preserve"> </w:t>
      </w:r>
      <w:r>
        <w:rPr>
          <w:i/>
          <w:iCs/>
        </w:rPr>
        <w:t xml:space="preserve">(nad foldem jen z části)</w:t>
      </w:r>
    </w:p>
    <w:p>
      <w:pPr>
        <w:pStyle w:val="Compact"/>
        <w:numPr>
          <w:ilvl w:val="0"/>
          <w:numId w:val="1001"/>
        </w:numPr>
      </w:pPr>
      <w:r>
        <w:t xml:space="preserve">„Proč my" — tři ikony s jedním slovem</w:t>
      </w:r>
    </w:p>
    <w:p>
      <w:pPr>
        <w:pStyle w:val="Compact"/>
        <w:numPr>
          <w:ilvl w:val="0"/>
          <w:numId w:val="1001"/>
        </w:numPr>
      </w:pPr>
      <w:r>
        <w:t xml:space="preserve">Služby — 6 dlaždic</w:t>
      </w:r>
    </w:p>
    <w:p>
      <w:pPr>
        <w:pStyle w:val="Compact"/>
        <w:numPr>
          <w:ilvl w:val="0"/>
          <w:numId w:val="1001"/>
        </w:numPr>
      </w:pPr>
      <w:r>
        <w:t xml:space="preserve">Carousel referencí — 4 slidy, autoplay</w:t>
      </w:r>
    </w:p>
    <w:p>
      <w:pPr>
        <w:pStyle w:val="Compact"/>
        <w:numPr>
          <w:ilvl w:val="0"/>
          <w:numId w:val="1001"/>
        </w:numPr>
      </w:pPr>
      <w:r>
        <w:t xml:space="preserve">„O nás" — historie firmy</w:t>
      </w:r>
    </w:p>
    <w:p>
      <w:pPr>
        <w:pStyle w:val="Compact"/>
        <w:numPr>
          <w:ilvl w:val="0"/>
          <w:numId w:val="1001"/>
        </w:numPr>
      </w:pPr>
      <w:r>
        <w:t xml:space="preserve">Blog — 3 články</w:t>
      </w:r>
    </w:p>
    <w:p>
      <w:pPr>
        <w:pStyle w:val="Compact"/>
        <w:numPr>
          <w:ilvl w:val="0"/>
          <w:numId w:val="1001"/>
        </w:numPr>
      </w:pPr>
      <w:r>
        <w:t xml:space="preserve">Poptávkový formulář (6 polí) + patička</w:t>
      </w:r>
    </w:p>
    <w:p>
      <w:pPr>
        <w:pStyle w:val="FirstParagraph"/>
      </w:pPr>
      <w:r>
        <w:rPr>
          <w:b/>
          <w:bCs/>
        </w:rPr>
        <w:t xml:space="preserve">Mobil (390 px, ověřeno živě):</w:t>
      </w:r>
      <w:r>
        <w:t xml:space="preserve"> </w:t>
      </w:r>
      <w:r>
        <w:t xml:space="preserve">stejné pořadí; hero zabere 1,1 obrazovky; tlačítko poptávky je až na 2. obrazovce; telefon jen v patičce, bez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odkazu.</w:t>
      </w:r>
    </w:p>
    <w:p>
      <w:pPr>
        <w:pStyle w:val="BodyText"/>
      </w:pPr>
      <w:r>
        <w:rPr>
          <w:b/>
          <w:bCs/>
        </w:rPr>
        <w:t xml:space="preserve">Gap proti ideálu B2B služby × homepage: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Ideál (playbook)</w:t>
            </w:r>
          </w:p>
        </w:tc>
        <w:tc>
          <w:tcPr/>
          <w:p>
            <w:pPr>
              <w:pStyle w:val="Compact"/>
            </w:pPr>
            <w:r>
              <w:t xml:space="preserve">Stav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prop do 5 s — co, pro koho, proč</w:t>
            </w:r>
          </w:p>
        </w:tc>
        <w:tc>
          <w:tcPr/>
          <w:p>
            <w:pPr>
              <w:pStyle w:val="Compact"/>
            </w:pPr>
            <w:r>
              <w:t xml:space="preserve">Obecný nadpis bez cílovky a výsledku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brzy: loga, čísla, výsledky</w:t>
            </w:r>
          </w:p>
        </w:tc>
        <w:tc>
          <w:tcPr/>
          <w:p>
            <w:pPr>
              <w:pStyle w:val="Compact"/>
            </w:pPr>
            <w:r>
              <w:t xml:space="preserve">Reference až 4. sekce, v carouselu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Příklady místo kategorií</w:t>
            </w:r>
          </w:p>
        </w:tc>
        <w:tc>
          <w:tcPr/>
          <w:p>
            <w:pPr>
              <w:pStyle w:val="Compact"/>
            </w:pPr>
            <w:r>
              <w:t xml:space="preserve">6 obecných dlaždic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Nízkorizikový první krok</w:t>
            </w:r>
          </w:p>
        </w:tc>
        <w:tc>
          <w:tcPr/>
          <w:p>
            <w:pPr>
              <w:pStyle w:val="Compact"/>
            </w:pPr>
            <w:r>
              <w:t xml:space="preserve">Jen „Nezávazná poptávka"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Konverzní prvek brzy v cestě</w:t>
            </w:r>
          </w:p>
        </w:tc>
        <w:tc>
          <w:tcPr/>
          <w:p>
            <w:pPr>
              <w:pStyle w:val="Compact"/>
            </w:pPr>
            <w:r>
              <w:t xml:space="preserve">Formulář až na konci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Přímé kontakty + kdo se ozve</w:t>
            </w:r>
          </w:p>
        </w:tc>
        <w:tc>
          <w:tcPr/>
          <w:p>
            <w:pPr>
              <w:pStyle w:val="Compact"/>
            </w:pPr>
            <w:r>
              <w:t xml:space="preserve">Telefon jen v patičce, bez jména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</w:tbl>
    <w:bookmarkEnd w:id="11"/>
    <w:bookmarkStart w:id="17" w:name="Xb7f254fa2729169b3d1495fc86fa5b448dc77a3"/>
    <w:p>
      <w:pPr>
        <w:pStyle w:val="Heading2"/>
      </w:pPr>
      <w:r>
        <w:t xml:space="preserve">3. Doporučení v plném řetězci</w:t>
      </w:r>
    </w:p>
    <w:bookmarkStart w:id="12" w:name="d1--konkrétní-hero-do-jedné-obrazovky"/>
    <w:p>
      <w:pPr>
        <w:pStyle w:val="Heading3"/>
      </w:pPr>
      <w:r>
        <w:t xml:space="preserve">D1 · Konkrétní hero do jedné obrazovky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Zjištění:</w:t>
      </w:r>
      <w:r>
        <w:t xml:space="preserve"> </w:t>
      </w:r>
      <w:r>
        <w:t xml:space="preserve">58 % desktop sessions nedojde do 25 % stránky; nadpis je zaměnitelný.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Vyvození:</w:t>
      </w:r>
      <w:r>
        <w:t xml:space="preserve"> </w:t>
      </w:r>
      <w:r>
        <w:t xml:space="preserve">návštěvník nepozná, že je na správném místě.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Zadání:</w:t>
      </w:r>
      <w:r>
        <w:t xml:space="preserve"> </w:t>
      </w:r>
      <w:r>
        <w:t xml:space="preserve">H1 s cílovkou a výsledkem („Správa IT pro firmy do 50 lidí — odpovíme do 30 minut, platíte fixně za uživatele"); podnadpis s jedním číslem; fotka týmu místo serverovny; výška sekce ≤ 100vh na 1366×768.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Proč:</w:t>
      </w:r>
      <w:r>
        <w:t xml:space="preserve"> </w:t>
      </w:r>
      <w:r>
        <w:t xml:space="preserve">57 % času na stránce připadá na obsah nad ohybem (NN/g, Scrolling and Attention); 5s test (Krug, NN/g Homepage Design).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Hypotéza:</w:t>
      </w:r>
      <w:r>
        <w:t xml:space="preserve"> </w:t>
      </w:r>
      <w:r>
        <w:t xml:space="preserve">Protože 58 % lidí odchází před první konkrétní informací, věříme, že konkrétní a kratší hero zvýší podíl dosažení 25 % stránky. Poznáme to podle scroll depth v Clarity.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ICE:</w:t>
      </w:r>
      <w:r>
        <w:t xml:space="preserve"> </w:t>
      </w:r>
      <w:r>
        <w:t xml:space="preserve">8 · 8 · 9 → 8,3 ·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malý ·</w:t>
      </w:r>
      <w:r>
        <w:t xml:space="preserve"> </w:t>
      </w:r>
      <w:r>
        <w:rPr>
          <w:b/>
          <w:bCs/>
        </w:rPr>
        <w:t xml:space="preserve">Měření:</w:t>
      </w:r>
      <w:r>
        <w:t xml:space="preserve"> </w:t>
      </w:r>
      <w:r>
        <w:t xml:space="preserve">scroll do 25 % (výchozí 42 % desktop / 55 % mobil), kliky na CTA v heru.</w:t>
      </w:r>
    </w:p>
    <w:bookmarkEnd w:id="12"/>
    <w:bookmarkStart w:id="13" w:name="d2--reference-staticky-pod-hero"/>
    <w:p>
      <w:pPr>
        <w:pStyle w:val="Heading3"/>
      </w:pPr>
      <w:r>
        <w:t xml:space="preserve">D2 · Reference staticky pod hero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Zjištění:</w:t>
      </w:r>
      <w:r>
        <w:t xml:space="preserve"> </w:t>
      </w:r>
      <w:r>
        <w:t xml:space="preserve">reference vidí 19 %; 3. slide nikdo.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Zadání:</w:t>
      </w:r>
      <w:r>
        <w:t xml:space="preserve"> </w:t>
      </w:r>
      <w:r>
        <w:t xml:space="preserve">zrušit carousel; 1 case study s číslem + jméno, pozice, fotka; řada 4–6 log; odkaz „Celá případová studie".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Proč:</w:t>
      </w:r>
      <w:r>
        <w:t xml:space="preserve"> </w:t>
      </w:r>
      <w:r>
        <w:t xml:space="preserve">case studies s čísly = nejsilnější aktivum v B2B (playbook B2B služby); carousely mají nízkou interakci (NN/g; ⚠️ starší data o ~1 % prokliku, princip platí).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ICE:</w:t>
      </w:r>
      <w:r>
        <w:t xml:space="preserve"> </w:t>
      </w:r>
      <w:r>
        <w:t xml:space="preserve">7 · 8 · 9 → 8,0 ·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malý ·</w:t>
      </w:r>
      <w:r>
        <w:t xml:space="preserve"> </w:t>
      </w:r>
      <w:r>
        <w:rPr>
          <w:b/>
          <w:bCs/>
        </w:rPr>
        <w:t xml:space="preserve">Měření:</w:t>
      </w:r>
      <w:r>
        <w:t xml:space="preserve"> </w:t>
      </w:r>
      <w:r>
        <w:t xml:space="preserve">dosažení sekce (výchozí 19 %), kliky na case study.</w:t>
      </w:r>
    </w:p>
    <w:bookmarkEnd w:id="13"/>
    <w:bookmarkStart w:id="14" w:name="d3--nízkorizikový-první-krok"/>
    <w:p>
      <w:pPr>
        <w:pStyle w:val="Heading3"/>
      </w:pPr>
      <w:r>
        <w:t xml:space="preserve">D3 · Nízkorizikový první krok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Zjištění:</w:t>
      </w:r>
      <w:r>
        <w:t xml:space="preserve"> </w:t>
      </w:r>
      <w:r>
        <w:t xml:space="preserve">CTA 0,9 % sessions; jediná cesta.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Zadání:</w:t>
      </w:r>
      <w:r>
        <w:t xml:space="preserve"> </w:t>
      </w:r>
      <w:r>
        <w:t xml:space="preserve">primární CTA „Rezervovat 30min audit IT zdarma" (plná barva, jméno technika, rezervační kalendář); sekundární „Stáhnout ceník" (PDF).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Proč:</w:t>
      </w:r>
      <w:r>
        <w:t xml:space="preserve"> </w:t>
      </w:r>
      <w:r>
        <w:t xml:space="preserve">specifický nízkorizikový krok &gt; „Kontaktujte nás" (playbook Poradenství / B2B; LIFT — Anxiety).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ICE:</w:t>
      </w:r>
      <w:r>
        <w:t xml:space="preserve"> </w:t>
      </w:r>
      <w:r>
        <w:t xml:space="preserve">8 · 7 · 6 → 7,0 ·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střední ·</w:t>
      </w:r>
      <w:r>
        <w:t xml:space="preserve"> </w:t>
      </w:r>
      <w:r>
        <w:rPr>
          <w:b/>
          <w:bCs/>
        </w:rPr>
        <w:t xml:space="preserve">Měření:</w:t>
      </w:r>
      <w:r>
        <w:t xml:space="preserve"> </w:t>
      </w:r>
      <w:r>
        <w:t xml:space="preserve">kliky na obě CTA, rezervace, stažení (události viz měřicí plán).</w:t>
      </w:r>
    </w:p>
    <w:bookmarkEnd w:id="14"/>
    <w:bookmarkStart w:id="15" w:name="d4--ikony-proč-my-s-důkazem"/>
    <w:p>
      <w:pPr>
        <w:pStyle w:val="Heading3"/>
      </w:pPr>
      <w:r>
        <w:t xml:space="preserve">D4 · Ikony „Proč my" s důkazem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Zjištění:</w:t>
      </w:r>
      <w:r>
        <w:t xml:space="preserve"> </w:t>
      </w:r>
      <w:r>
        <w:t xml:space="preserve">38 dead clicks (⚠️ směrový signál).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Zadání:</w:t>
      </w:r>
      <w:r>
        <w:t xml:space="preserve"> </w:t>
      </w:r>
      <w:r>
        <w:t xml:space="preserve">ke každé ikoně jednu větu s ověřitelným číslem, nebo odkaz na detail.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Proč:</w:t>
      </w:r>
      <w:r>
        <w:t xml:space="preserve"> </w:t>
      </w:r>
      <w:r>
        <w:t xml:space="preserve">dead clicks = falešná afordance (metodika; LIFT Distraction).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ICE:</w:t>
      </w:r>
      <w:r>
        <w:t xml:space="preserve"> </w:t>
      </w:r>
      <w:r>
        <w:t xml:space="preserve">5 · 5 · 9 → 6,3 ·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malý ·</w:t>
      </w:r>
      <w:r>
        <w:t xml:space="preserve"> </w:t>
      </w:r>
      <w:r>
        <w:rPr>
          <w:b/>
          <w:bCs/>
        </w:rPr>
        <w:t xml:space="preserve">Měření:</w:t>
      </w:r>
      <w:r>
        <w:t xml:space="preserve"> </w:t>
      </w:r>
      <w:r>
        <w:t xml:space="preserve">dead clicks v oblasti.</w:t>
      </w:r>
    </w:p>
    <w:bookmarkEnd w:id="15"/>
    <w:bookmarkStart w:id="16" w:name="X3964148ec0867a013089a9906e320e04b59b2a0"/>
    <w:p>
      <w:pPr>
        <w:pStyle w:val="Heading3"/>
      </w:pPr>
      <w:r>
        <w:t xml:space="preserve">D5 · Formulář na 3 pole, výš (odvážnější změna)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Zjištění:</w:t>
      </w:r>
      <w:r>
        <w:t xml:space="preserve"> </w:t>
      </w:r>
      <w:r>
        <w:t xml:space="preserve">formulář vidí 11 %; odpad u „Počet zaměstnanců".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Zadání:</w:t>
      </w:r>
      <w:r>
        <w:t xml:space="preserve"> </w:t>
      </w:r>
      <w:r>
        <w:t xml:space="preserve">pole jméno / e-mail nebo telefon / zpráva; umístit pod služby; nad formulář „Ozve se vám Petr, do 30 minut v pracovní době"; telefon jako</w:t>
      </w:r>
      <w:r>
        <w:t xml:space="preserve"> </w:t>
      </w:r>
      <w:r>
        <w:rPr>
          <w:rStyle w:val="VerbatimChar"/>
        </w:rPr>
        <w:t xml:space="preserve">tel:</w:t>
      </w:r>
      <w:r>
        <w:t xml:space="preserve"> </w:t>
      </w:r>
      <w:r>
        <w:t xml:space="preserve">odkaz.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Proč:</w:t>
      </w:r>
      <w:r>
        <w:t xml:space="preserve"> </w:t>
      </w:r>
      <w:r>
        <w:t xml:space="preserve">v B2B první kontakt jen minimum (playbook Kontakt; ⚠️ HubSpot 4→3 pole je kontextové číslo); rychlost reakce zvyšuje kvalifikaci (⚠️ starší studie, směr platí).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ICE:</w:t>
      </w:r>
      <w:r>
        <w:t xml:space="preserve"> </w:t>
      </w:r>
      <w:r>
        <w:t xml:space="preserve">7 · 6 · 7 → 6,7 ·</w:t>
      </w:r>
      <w:r>
        <w:t xml:space="preserve"> </w:t>
      </w:r>
      <w:r>
        <w:rPr>
          <w:b/>
          <w:bCs/>
        </w:rPr>
        <w:t xml:space="preserve">Effort:</w:t>
      </w:r>
      <w:r>
        <w:t xml:space="preserve"> </w:t>
      </w:r>
      <w:r>
        <w:t xml:space="preserve">střední ·</w:t>
      </w:r>
      <w:r>
        <w:t xml:space="preserve"> </w:t>
      </w:r>
      <w:r>
        <w:rPr>
          <w:b/>
          <w:bCs/>
        </w:rPr>
        <w:t xml:space="preserve">Měření:</w:t>
      </w:r>
      <w:r>
        <w:t xml:space="preserve"> </w:t>
      </w:r>
      <w:r>
        <w:t xml:space="preserve">form start / submit, odpad po polích.</w:t>
      </w:r>
    </w:p>
    <w:bookmarkEnd w:id="16"/>
    <w:bookmarkEnd w:id="17"/>
    <w:bookmarkStart w:id="18" w:name="Xcb70ff0249f423889203eaeccc431f7a9b329d1"/>
    <w:p>
      <w:pPr>
        <w:pStyle w:val="Heading2"/>
      </w:pPr>
      <w:r>
        <w:t xml:space="preserve">4. Měřicí plán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Před změnou doměřit (GA4):</w:t>
      </w:r>
      <w:r>
        <w:t xml:space="preserve"> </w:t>
      </w:r>
      <w:r>
        <w:rPr>
          <w:rStyle w:val="VerbatimChar"/>
        </w:rPr>
        <w:t xml:space="preserve">generate_lead</w:t>
      </w:r>
      <w:r>
        <w:t xml:space="preserve"> </w:t>
      </w:r>
      <w:r>
        <w:t xml:space="preserve">pro odeslání formuláře (dnes existuje), nově</w:t>
      </w:r>
      <w:r>
        <w:t xml:space="preserve"> </w:t>
      </w:r>
      <w:r>
        <w:rPr>
          <w:rStyle w:val="VerbatimChar"/>
        </w:rPr>
        <w:t xml:space="preserve">book_consultation</w:t>
      </w:r>
      <w:r>
        <w:t xml:space="preserve"> </w:t>
      </w:r>
      <w:r>
        <w:t xml:space="preserve">(rezervace) a</w:t>
      </w:r>
      <w:r>
        <w:t xml:space="preserve"> </w:t>
      </w:r>
      <w:r>
        <w:rPr>
          <w:rStyle w:val="VerbatimChar"/>
        </w:rPr>
        <w:t xml:space="preserve">file_download</w:t>
      </w:r>
      <w:r>
        <w:t xml:space="preserve"> </w:t>
      </w:r>
      <w:r>
        <w:t xml:space="preserve">pro ceník; parametr umístění CTA (</w:t>
      </w:r>
      <w:r>
        <w:rPr>
          <w:rStyle w:val="VerbatimChar"/>
        </w:rPr>
        <w:t xml:space="preserve">hero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formular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Výchozí hodnoty:</w:t>
      </w:r>
      <w:r>
        <w:t xml:space="preserve"> </w:t>
      </w:r>
      <w:r>
        <w:t xml:space="preserve">scroll 25 % = 42 / 55 %; dosažení referencí 19 / 24 %; CTA 0,9 / 0,6 % sessions; poptávky 12 za 30 dní.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Metoda:</w:t>
      </w:r>
      <w:r>
        <w:t xml:space="preserve"> </w:t>
      </w:r>
      <w:r>
        <w:t xml:space="preserve">před/po (návštěvnost pod hranicí pro A/B), měřit 4 týdny, desktop i mobil zvlášť.</w:t>
      </w:r>
    </w:p>
    <w:bookmarkEnd w:id="18"/>
    <w:bookmarkStart w:id="19" w:name="Xfb6377b4035a55331af927b937e666a39223230"/>
    <w:p>
      <w:pPr>
        <w:pStyle w:val="Heading2"/>
      </w:pPr>
      <w:r>
        <w:t xml:space="preserve">5. Wireframe spec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Hero (max. 1 obrazovka):</w:t>
      </w:r>
      <w:r>
        <w:t xml:space="preserve"> </w:t>
      </w:r>
      <w:r>
        <w:t xml:space="preserve">H1 s cílovkou a výsledkem · podnadpis s číslem · CTA „Rezervovat 30min audit IT zdarma" · sekundární „Stáhnout ceník" · tvář technika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Důkaz:</w:t>
      </w:r>
      <w:r>
        <w:t xml:space="preserve"> </w:t>
      </w:r>
      <w:r>
        <w:t xml:space="preserve">1 reference s číslem, jménem a fotkou · 4–6 log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Služby:</w:t>
      </w:r>
      <w:r>
        <w:t xml:space="preserve"> </w:t>
      </w:r>
      <w:r>
        <w:t xml:space="preserve">3 balíčky místo 6 dlaždic, každý „pro koho" + cena „od"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Jak začínáme:</w:t>
      </w:r>
      <w:r>
        <w:t xml:space="preserve"> </w:t>
      </w:r>
      <w:r>
        <w:t xml:space="preserve">audit → převzetí → provoz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Formulář (3 pole)</w:t>
      </w:r>
      <w:r>
        <w:t xml:space="preserve"> </w:t>
      </w:r>
      <w:r>
        <w:t xml:space="preserve">+ kdo se ozve a kdy + přímý telefon a e-mail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Další reference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 nás</w:t>
      </w:r>
      <w:r>
        <w:t xml:space="preserve"> </w:t>
      </w:r>
      <w:r>
        <w:t xml:space="preserve">(zkrácené) · blog · patička</w:t>
      </w:r>
    </w:p>
    <w:bookmarkEnd w:id="19"/>
    <w:bookmarkStart w:id="20" w:name="X4e5b20c8b313bf6c81f0622421a5b1ded61ee57"/>
    <w:p>
      <w:pPr>
        <w:pStyle w:val="Heading2"/>
      </w:pPr>
      <w:r>
        <w:t xml:space="preserve">6. Otevřené body k ověření</w:t>
      </w:r>
    </w:p>
    <w:p>
      <w:pPr>
        <w:pStyle w:val="Compact"/>
        <w:numPr>
          <w:ilvl w:val="0"/>
          <w:numId w:val="1009"/>
        </w:numPr>
      </w:pPr>
      <w:r>
        <w:t xml:space="preserve">Má firma souhlas klienta s uvedením jména a fotky u reference?</w:t>
      </w:r>
    </w:p>
    <w:p>
      <w:pPr>
        <w:pStyle w:val="Compact"/>
        <w:numPr>
          <w:ilvl w:val="0"/>
          <w:numId w:val="1009"/>
        </w:numPr>
      </w:pPr>
      <w:r>
        <w:t xml:space="preserve">Je reálná průměrná odezva 14 minut podložená daty z helpdesku?</w:t>
      </w:r>
    </w:p>
    <w:bookmarkEnd w:id="20"/>
    <w:bookmarkEnd w:id="21"/>
    <w:sectPr>
      <w:footnotePr>
        <w:numRestart w:val="eachSect"/>
      </w:footnotePr>
      <w:pgSz w:h="16838" w:w="11906"/>
      <w:pgMar w:bottom="124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F2A37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76" w:lineRule="auto"/>
    </w:pPr>
    <w:rPr>
      <w:rFonts w:ascii="Calibri" w:cs="Calibri" w:eastAsia="Calibri" w:hAnsi="Calibri"/>
      <w:color w:val="1F2A3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76" w:lineRule="auto"/>
    </w:pPr>
    <w:rPr>
      <w:rFonts w:ascii="Calibri" w:cs="Calibri" w:eastAsia="Calibri" w:hAnsi="Calibri"/>
      <w:color w:val="1F2A37"/>
      <w:sz w:val="21"/>
    </w:rPr>
  </w:style>
  <w:style w:customStyle="1" w:styleId="Compact" w:type="paragraph">
    <w:name w:val="Compact"/>
    <w:basedOn w:val="BodyText"/>
    <w:qFormat/>
    <w:pPr>
      <w:spacing w:after="40" w:before="0" w:line="264" w:lineRule="auto"/>
    </w:pPr>
    <w:rPr>
      <w:rFonts w:ascii="Calibri" w:cs="Calibri" w:eastAsia="Calibri" w:hAnsi="Calibri"/>
      <w:color w:val="1F2A37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Calibri" w:cs="Calibri" w:eastAsia="Calibri" w:hAnsi="Calibri"/>
      <w:b/>
      <w:color w:val="1F2A37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Calibri" w:hAnsi="Calibri"/>
      <w:b w:val="0"/>
      <w:color w:val="55606E"/>
      <w:spacing w:val="15"/>
      <w:sz w:val="2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cs="Calibri" w:eastAsia="Calibri" w:hAnsi="Calibri"/>
      <w:b w:val="0"/>
      <w:color w:val="55606E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cs="Calibri" w:eastAsia="Calibri" w:hAnsi="Calibri"/>
      <w:b w:val="0"/>
      <w:color w:val="55606E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="Calibri" w:cs="Calibri" w:eastAsia="Calibri" w:hAnsi="Calibri"/>
      <w:b/>
      <w:i w:val="0"/>
      <w:color w:val="1F2A37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Calibri" w:cs="Calibri" w:eastAsia="Calibri" w:hAnsi="Calibri"/>
      <w:b/>
      <w:i w:val="0"/>
      <w:color w:val="0B5F73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Calibri" w:cs="Calibri" w:eastAsia="Calibri" w:hAnsi="Calibri"/>
      <w:b/>
      <w:i w:val="0"/>
      <w:color w:val="1F2A37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Calibri" w:cs="Calibri" w:eastAsia="Calibri" w:hAnsi="Calibri"/>
      <w:b/>
      <w:i w:val="0"/>
      <w:iCs/>
      <w:color w:val="55606E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pBdr>
        <w:left w:color="0B5F73" w:space="8" w:sz="18" w:val="single"/>
      </w:pBdr>
      <w:shd w:color="auto" w:fill="EAF3F5" w:val="clear"/>
      <w:ind w:left="284" w:right="0"/>
    </w:pPr>
    <w:rPr>
      <w:rFonts w:ascii="Calibri" w:cs="Calibri" w:eastAsia="Calibri" w:hAnsi="Calibri"/>
      <w:b w:val="0"/>
      <w:i w:val="0"/>
      <w:color w:val="1F2A37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D9" w:space="0" w:sz="4" w:val="single"/>
        <w:left w:color="C9D1D9" w:space="0" w:sz="4" w:val="single"/>
        <w:bottom w:color="C9D1D9" w:space="0" w:sz="4" w:val="single"/>
        <w:right w:color="C9D1D9" w:space="0" w:sz="4" w:val="single"/>
        <w:insideH w:color="C9D1D9" w:space="0" w:sz="4" w:val="single"/>
        <w:insideV w:color="C9D1D9" w:space="0" w:sz="4" w:val="single"/>
      </w:tblBorders>
    </w:tblPr>
    <w:tblStylePr w:type="firstRow">
      <w:rPr>
        <w:b/>
      </w:rPr>
      <w:tcPr>
        <w:shd w:color="auto" w:fill="EEF2F5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Calibri" w:cs="Calibri" w:eastAsia="Calibri" w:hAnsi="Calibri"/>
      <w:color w:val="0B5F73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ukazkovy-aud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ukazkovy-aud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2026-09-29T12:54:52Z</dcterms:created>
  <dcterms:modified xsi:type="dcterms:W3CDTF">2026-09-29T12:54:52Z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