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ro-audit--ukázka-it-sro-homepage"/>
    <w:p>
      <w:pPr>
        <w:pStyle w:val="Heading1"/>
      </w:pPr>
      <w:r>
        <w:t xml:space="preserve">CRO audit — Ukázka IT s.r.o., homepage</w:t>
      </w:r>
    </w:p>
    <w:p>
      <w:pPr>
        <w:pStyle w:val="FirstParagraph"/>
      </w:pPr>
      <w:r>
        <w:rPr>
          <w:b/>
          <w:bCs/>
        </w:rPr>
        <w:t xml:space="preserve">Stránka:</w:t>
      </w:r>
      <w:r>
        <w:t xml:space="preserve"> </w:t>
      </w:r>
      <w:hyperlink r:id="rId9">
        <w:r>
          <w:rPr>
            <w:rStyle w:val="Hyperlink"/>
          </w:rPr>
          <w:t xml:space="preserve">https://example.cz/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Typ:</w:t>
      </w:r>
      <w:r>
        <w:t xml:space="preserve"> </w:t>
      </w:r>
      <w:r>
        <w:t xml:space="preserve">homepage ·</w:t>
      </w:r>
      <w:r>
        <w:t xml:space="preserve"> </w:t>
      </w:r>
      <w:r>
        <w:rPr>
          <w:b/>
          <w:bCs/>
        </w:rPr>
        <w:t xml:space="preserve">Segment:</w:t>
      </w:r>
      <w:r>
        <w:t xml:space="preserve"> </w:t>
      </w:r>
      <w:r>
        <w:t xml:space="preserve">B2B služby ·</w:t>
      </w:r>
      <w:r>
        <w:t xml:space="preserve"> </w:t>
      </w:r>
      <w:r>
        <w:rPr>
          <w:b/>
          <w:bCs/>
        </w:rPr>
        <w:t xml:space="preserve">Primární konverze:</w:t>
      </w:r>
      <w:r>
        <w:t xml:space="preserve"> </w:t>
      </w:r>
      <w:r>
        <w:t xml:space="preserve">poptávka / rezervace konzultace</w:t>
      </w:r>
      <w:r>
        <w:t xml:space="preserve"> </w:t>
      </w:r>
      <w:r>
        <w:rPr>
          <w:b/>
          <w:bCs/>
        </w:rPr>
        <w:t xml:space="preserve">Datum:</w:t>
      </w:r>
      <w:r>
        <w:t xml:space="preserve"> </w:t>
      </w:r>
      <w:r>
        <w:t xml:space="preserve">29. 9. 2026 ·</w:t>
      </w:r>
      <w:r>
        <w:t xml:space="preserve"> </w:t>
      </w:r>
      <w:r>
        <w:rPr>
          <w:b/>
          <w:bCs/>
        </w:rPr>
        <w:t xml:space="preserve">Datové okno:</w:t>
      </w:r>
      <w:r>
        <w:t xml:space="preserve"> </w:t>
      </w:r>
      <w:r>
        <w:t xml:space="preserve">posledních 90 dní (Microsoft Clarity), 30 dní (GA4)</w:t>
      </w:r>
    </w:p>
    <w:p>
      <w:pPr>
        <w:pStyle w:val="BlockText"/>
      </w:pPr>
      <w:r>
        <w:rPr>
          <w:b/>
          <w:bCs/>
        </w:rPr>
        <w:t xml:space="preserve">Fiktivní ukázka.</w:t>
      </w:r>
      <w:r>
        <w:t xml:space="preserve"> </w:t>
      </w:r>
      <w:r>
        <w:t xml:space="preserve">Firma, web i všechna čísla jsou vymyšlené. Takhle vypadá klientská verze auditu z</w:t>
      </w:r>
      <w:r>
        <w:t xml:space="preserve"> </w:t>
      </w:r>
      <w:r>
        <w:rPr>
          <w:rStyle w:val="VerbatimChar"/>
        </w:rPr>
        <w:t xml:space="preserve">/cro-operator:cro</w:t>
      </w:r>
      <w:r>
        <w:t xml:space="preserve">. Detail pro realizaci je v</w:t>
      </w:r>
      <w:r>
        <w:t xml:space="preserve"> </w:t>
      </w:r>
      <w:hyperlink r:id="rId10">
        <w:r>
          <w:rPr>
            <w:rStyle w:val="Hyperlink"/>
          </w:rPr>
          <w:t xml:space="preserve">technické příloze</w:t>
        </w:r>
      </w:hyperlink>
      <w:r>
        <w:t xml:space="preserve">.</w:t>
      </w:r>
    </w:p>
    <w:bookmarkStart w:id="11" w:name="X406e8aa629f26beb98b8c2533ff833677645c12"/>
    <w:p>
      <w:pPr>
        <w:pStyle w:val="Heading2"/>
      </w:pPr>
      <w:r>
        <w:t xml:space="preserve">1. Shrnutí</w:t>
      </w:r>
    </w:p>
    <w:p>
      <w:pPr>
        <w:pStyle w:val="FirstParagraph"/>
      </w:pPr>
      <w:r>
        <w:t xml:space="preserve">Homepage dnes lidi</w:t>
      </w:r>
      <w:r>
        <w:t xml:space="preserve"> </w:t>
      </w:r>
      <w:r>
        <w:rPr>
          <w:b/>
          <w:bCs/>
        </w:rPr>
        <w:t xml:space="preserve">nevede k poptávce, ale k odchodu</w:t>
      </w:r>
      <w:r>
        <w:t xml:space="preserve">. Nejde o rozbitý web — chyby a frustrace jsou téměř nulové. Jde o pořadí obsahu: to, co přesvědčuje (nabídka, reference, formulář), leží tam, kam většina lidí nedojde. Opravy jsou proto hlavně obsahové, ne vývojářské.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Ukazatel</w:t>
            </w:r>
          </w:p>
        </w:tc>
        <w:tc>
          <w:tcPr/>
          <w:p>
            <w:pPr>
              <w:pStyle w:val="Compact"/>
            </w:pPr>
            <w:r>
              <w:t xml:space="preserve">Počítač</w:t>
            </w:r>
          </w:p>
        </w:tc>
        <w:tc>
          <w:tcPr/>
          <w:p>
            <w:pPr>
              <w:pStyle w:val="Compact"/>
            </w:pPr>
            <w:r>
              <w:t xml:space="preserve">Mobil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Návštěvy (90 dní)</w:t>
            </w:r>
          </w:p>
        </w:tc>
        <w:tc>
          <w:tcPr/>
          <w:p>
            <w:pPr>
              <w:pStyle w:val="Compact"/>
            </w:pPr>
            <w:r>
              <w:t xml:space="preserve">2 140</w:t>
            </w:r>
          </w:p>
        </w:tc>
        <w:tc>
          <w:tcPr/>
          <w:p>
            <w:pPr>
              <w:pStyle w:val="Compact"/>
            </w:pPr>
            <w:r>
              <w:t xml:space="preserve">1 309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Dojdou aspoň do čtvrtiny stránky</w:t>
            </w:r>
          </w:p>
        </w:tc>
        <w:tc>
          <w:tcPr/>
          <w:p>
            <w:pPr>
              <w:pStyle w:val="Compact"/>
            </w:pPr>
            <w:r>
              <w:t xml:space="preserve">42 %</w:t>
            </w:r>
          </w:p>
        </w:tc>
        <w:tc>
          <w:tcPr/>
          <w:p>
            <w:pPr>
              <w:pStyle w:val="Compact"/>
            </w:pPr>
            <w:r>
              <w:t xml:space="preserve">55 %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Uvidí reference</w:t>
            </w:r>
          </w:p>
        </w:tc>
        <w:tc>
          <w:tcPr/>
          <w:p>
            <w:pPr>
              <w:pStyle w:val="Compact"/>
            </w:pPr>
            <w:r>
              <w:t xml:space="preserve">19 %</w:t>
            </w:r>
          </w:p>
        </w:tc>
        <w:tc>
          <w:tcPr/>
          <w:p>
            <w:pPr>
              <w:pStyle w:val="Compact"/>
            </w:pPr>
            <w:r>
              <w:t xml:space="preserve">24 %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Kliknou na „Nezávazná poptávka"</w:t>
            </w:r>
          </w:p>
        </w:tc>
        <w:tc>
          <w:tcPr/>
          <w:p>
            <w:pPr>
              <w:pStyle w:val="Compact"/>
            </w:pPr>
            <w:r>
              <w:t xml:space="preserve">0,9 %</w:t>
            </w:r>
          </w:p>
        </w:tc>
        <w:tc>
          <w:tcPr/>
          <w:p>
            <w:pPr>
              <w:pStyle w:val="Compact"/>
            </w:pPr>
            <w:r>
              <w:t xml:space="preserve">0,6 %</w:t>
            </w:r>
          </w:p>
        </w:tc>
      </w:tr>
    </w:tbl>
    <w:p>
      <w:pPr>
        <w:pStyle w:val="BodyText"/>
      </w:pPr>
      <w:r>
        <w:rPr>
          <w:b/>
          <w:bCs/>
        </w:rPr>
        <w:t xml:space="preserve">Tři hlavní zjištění: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Úvodní sekce lidi odrazuje.</w:t>
      </w:r>
      <w:r>
        <w:t xml:space="preserve"> </w:t>
      </w:r>
      <w:r>
        <w:t xml:space="preserve">Obecný nadpis a velká fotka zaberou víc než obrazovku; 58 % lidí na počítači odejde dřív, než se dozví, co firma dělá a pro koho.</w:t>
      </w:r>
      <w:r>
        <w:t xml:space="preserve"> </w:t>
      </w:r>
      <w:r>
        <w:rPr>
          <w:i/>
          <w:iCs/>
        </w:rPr>
        <w:t xml:space="preserve">Co s tím:</w:t>
      </w:r>
      <w:r>
        <w:t xml:space="preserve"> </w:t>
      </w:r>
      <w:r>
        <w:t xml:space="preserve">konkrétní nadpis s cílovkou a výsledkem, sekce do jedné obrazovky.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Nejsilnější reference je schovaná v carouselu.</w:t>
      </w:r>
      <w:r>
        <w:t xml:space="preserve"> </w:t>
      </w:r>
      <w:r>
        <w:t xml:space="preserve">Případovou studii „výpadky serveru z 11 za rok na 0" v nahrávkách neviděl nikdo.</w:t>
      </w:r>
      <w:r>
        <w:t xml:space="preserve"> </w:t>
      </w:r>
      <w:r>
        <w:rPr>
          <w:i/>
          <w:iCs/>
        </w:rPr>
        <w:t xml:space="preserve">Co s tím:</w:t>
      </w:r>
      <w:r>
        <w:t xml:space="preserve"> </w:t>
      </w:r>
      <w:r>
        <w:t xml:space="preserve">dát ji staticky hned pod úvod.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Chybí lehký první krok.</w:t>
      </w:r>
      <w:r>
        <w:t xml:space="preserve"> </w:t>
      </w:r>
      <w:r>
        <w:t xml:space="preserve">„Nezávazná poptávka" je pro majitele malé firmy při první návštěvě moc velký závazek.</w:t>
      </w:r>
      <w:r>
        <w:t xml:space="preserve"> </w:t>
      </w:r>
      <w:r>
        <w:rPr>
          <w:i/>
          <w:iCs/>
        </w:rPr>
        <w:t xml:space="preserve">Co s tím:</w:t>
      </w:r>
      <w:r>
        <w:t xml:space="preserve"> </w:t>
      </w:r>
      <w:r>
        <w:t xml:space="preserve">nabídnout 30min audit IT zdarma a ceník ke stažení.</w:t>
      </w:r>
    </w:p>
    <w:bookmarkEnd w:id="11"/>
    <w:bookmarkStart w:id="12" w:name="X8335af02eb5ce3ed4f919c515327ff5457681b4"/>
    <w:p>
      <w:pPr>
        <w:pStyle w:val="Heading2"/>
      </w:pPr>
      <w:r>
        <w:t xml:space="preserve">2. Co návštěvníci reálně dělají</w:t>
      </w:r>
    </w:p>
    <w:p>
      <w:pPr>
        <w:pStyle w:val="FirstParagraph"/>
      </w:pPr>
      <w:r>
        <w:rPr>
          <w:b/>
          <w:bCs/>
        </w:rPr>
        <w:t xml:space="preserve">Scroll útes pod úvodem.</w:t>
      </w:r>
      <w:r>
        <w:t xml:space="preserve"> </w:t>
      </w:r>
      <w:r>
        <w:t xml:space="preserve">Úvodní sekce zabírá na notebooku 1,4 obrazovky. Většina lidí se vrátí nebo odejde dřív, než uvidí první konkrétní informaci.</w:t>
      </w:r>
    </w:p>
    <w:p>
      <w:pPr>
        <w:pStyle w:val="BlockText"/>
      </w:pPr>
      <w:r>
        <w:t xml:space="preserve">📷 Vložit screenshot: Clarity → Heatmaps → / → Scroll map (desktop, posledních 90 dní)</w:t>
      </w:r>
    </w:p>
    <w:p>
      <w:pPr>
        <w:pStyle w:val="FirstParagraph"/>
      </w:pPr>
      <w:r>
        <w:rPr>
          <w:b/>
          <w:bCs/>
        </w:rPr>
        <w:t xml:space="preserve">Kliky jdou mimo tlačítka.</w:t>
      </w:r>
      <w:r>
        <w:t xml:space="preserve"> </w:t>
      </w:r>
      <w:r>
        <w:t xml:space="preserve">Lidé klikají na tři ikony u „Proč my", které nikam nevedou — čekají, že se dozví víc. Tlačítko poptávky dostane méně kliků než logo.</w:t>
      </w:r>
    </w:p>
    <w:p>
      <w:pPr>
        <w:pStyle w:val="BlockText"/>
      </w:pPr>
      <w:r>
        <w:t xml:space="preserve">📷 Vložit screenshot: Clarity → Heatmaps → / → Click map (desktop, posledních 90 dní)</w:t>
      </w:r>
    </w:p>
    <w:p>
      <w:pPr>
        <w:pStyle w:val="FirstParagraph"/>
      </w:pPr>
      <w:r>
        <w:rPr>
          <w:b/>
          <w:bCs/>
        </w:rPr>
        <w:t xml:space="preserve">Reference nikdo neprojde.</w:t>
      </w:r>
      <w:r>
        <w:t xml:space="preserve"> </w:t>
      </w:r>
      <w:r>
        <w:t xml:space="preserve">Carousel se sám posouvá po 4 sekundách; ze 14 prošlých nahrávek se ke 3. slidu nedostal nikdo.</w:t>
      </w:r>
    </w:p>
    <w:p>
      <w:pPr>
        <w:pStyle w:val="BodyText"/>
      </w:pPr>
      <w:r>
        <w:rPr>
          <w:b/>
          <w:bCs/>
        </w:rPr>
        <w:t xml:space="preserve">Formulář je až v patičce.</w:t>
      </w:r>
      <w:r>
        <w:t xml:space="preserve"> </w:t>
      </w:r>
      <w:r>
        <w:t xml:space="preserve">Vidí ho 11 % lidí na počítači a nejvíc jich odpadá u povinného „Počet zaměstnanců".</w:t>
      </w:r>
    </w:p>
    <w:bookmarkEnd w:id="12"/>
    <w:bookmarkStart w:id="18" w:name="X00b1a5e2ca955875eefb22fa45203f55b3dbc22"/>
    <w:p>
      <w:pPr>
        <w:pStyle w:val="Heading2"/>
      </w:pPr>
      <w:r>
        <w:t xml:space="preserve">3. Doporučení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Doporučení</w:t>
            </w:r>
          </w:p>
        </w:tc>
        <w:tc>
          <w:tcPr/>
          <w:p>
            <w:pPr>
              <w:pStyle w:val="Compact"/>
            </w:pPr>
            <w:r>
              <w:t xml:space="preserve">Priorita</w:t>
            </w:r>
          </w:p>
        </w:tc>
        <w:tc>
          <w:tcPr/>
          <w:p>
            <w:pPr>
              <w:pStyle w:val="Compact"/>
            </w:pPr>
            <w:r>
              <w:t xml:space="preserve">Náročnost</w:t>
            </w:r>
          </w:p>
        </w:tc>
        <w:tc>
          <w:tcPr/>
          <w:p>
            <w:pPr>
              <w:pStyle w:val="Compact"/>
            </w:pPr>
            <w:r>
              <w:t xml:space="preserve">Kdo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Konkrétní úvodní sekce do jedné obrazovky</w:t>
            </w:r>
          </w:p>
        </w:tc>
        <w:tc>
          <w:tcPr/>
          <w:p>
            <w:pPr>
              <w:pStyle w:val="Compact"/>
            </w:pPr>
            <w:r>
              <w:t xml:space="preserve">vysoká</w:t>
            </w:r>
          </w:p>
        </w:tc>
        <w:tc>
          <w:tcPr/>
          <w:p>
            <w:pPr>
              <w:pStyle w:val="Compact"/>
            </w:pPr>
            <w:r>
              <w:t xml:space="preserve">malá</w:t>
            </w:r>
          </w:p>
        </w:tc>
        <w:tc>
          <w:tcPr/>
          <w:p>
            <w:pPr>
              <w:pStyle w:val="Compact"/>
            </w:pPr>
            <w:r>
              <w:t xml:space="preserve">klient (web)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Nejsilnější reference staticky pod úvod</w:t>
            </w:r>
          </w:p>
        </w:tc>
        <w:tc>
          <w:tcPr/>
          <w:p>
            <w:pPr>
              <w:pStyle w:val="Compact"/>
            </w:pPr>
            <w:r>
              <w:t xml:space="preserve">vysoká</w:t>
            </w:r>
          </w:p>
        </w:tc>
        <w:tc>
          <w:tcPr/>
          <w:p>
            <w:pPr>
              <w:pStyle w:val="Compact"/>
            </w:pPr>
            <w:r>
              <w:t xml:space="preserve">malá</w:t>
            </w:r>
          </w:p>
        </w:tc>
        <w:tc>
          <w:tcPr/>
          <w:p>
            <w:pPr>
              <w:pStyle w:val="Compact"/>
            </w:pPr>
            <w:r>
              <w:t xml:space="preserve">klient (web)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Lehký první krok: audit zdarma + ceník</w:t>
            </w:r>
          </w:p>
        </w:tc>
        <w:tc>
          <w:tcPr/>
          <w:p>
            <w:pPr>
              <w:pStyle w:val="Compact"/>
            </w:pPr>
            <w:r>
              <w:t xml:space="preserve">vysoká</w:t>
            </w:r>
          </w:p>
        </w:tc>
        <w:tc>
          <w:tcPr/>
          <w:p>
            <w:pPr>
              <w:pStyle w:val="Compact"/>
            </w:pPr>
            <w:r>
              <w:t xml:space="preserve">střední</w:t>
            </w:r>
          </w:p>
        </w:tc>
        <w:tc>
          <w:tcPr/>
          <w:p>
            <w:pPr>
              <w:pStyle w:val="Compact"/>
            </w:pPr>
            <w:r>
              <w:t xml:space="preserve">klient (web)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Ikony „Proč my" rozvést do textu s důkazem</w:t>
            </w:r>
          </w:p>
        </w:tc>
        <w:tc>
          <w:tcPr/>
          <w:p>
            <w:pPr>
              <w:pStyle w:val="Compact"/>
            </w:pPr>
            <w:r>
              <w:t xml:space="preserve">střední</w:t>
            </w:r>
          </w:p>
        </w:tc>
        <w:tc>
          <w:tcPr/>
          <w:p>
            <w:pPr>
              <w:pStyle w:val="Compact"/>
            </w:pPr>
            <w:r>
              <w:t xml:space="preserve">malá</w:t>
            </w:r>
          </w:p>
        </w:tc>
        <w:tc>
          <w:tcPr/>
          <w:p>
            <w:pPr>
              <w:pStyle w:val="Compact"/>
            </w:pPr>
            <w:r>
              <w:t xml:space="preserve">klient (web)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Formulář na 3 pole a výš na stránku (odvážnější změna)</w:t>
            </w:r>
          </w:p>
        </w:tc>
        <w:tc>
          <w:tcPr/>
          <w:p>
            <w:pPr>
              <w:pStyle w:val="Compact"/>
            </w:pPr>
            <w:r>
              <w:t xml:space="preserve">střední</w:t>
            </w:r>
          </w:p>
        </w:tc>
        <w:tc>
          <w:tcPr/>
          <w:p>
            <w:pPr>
              <w:pStyle w:val="Compact"/>
            </w:pPr>
            <w:r>
              <w:t xml:space="preserve">střední</w:t>
            </w:r>
          </w:p>
        </w:tc>
        <w:tc>
          <w:tcPr/>
          <w:p>
            <w:pPr>
              <w:pStyle w:val="Compact"/>
            </w:pPr>
            <w:r>
              <w:t xml:space="preserve">klient (web)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Nastavit měření rezervací a stažení ceníku</w:t>
            </w:r>
          </w:p>
        </w:tc>
        <w:tc>
          <w:tcPr/>
          <w:p>
            <w:pPr>
              <w:pStyle w:val="Compact"/>
            </w:pPr>
            <w:r>
              <w:t xml:space="preserve">předpoklad</w:t>
            </w:r>
          </w:p>
        </w:tc>
        <w:tc>
          <w:tcPr/>
          <w:p>
            <w:pPr>
              <w:pStyle w:val="Compact"/>
            </w:pPr>
            <w:r>
              <w:t xml:space="preserve">malá</w:t>
            </w:r>
          </w:p>
        </w:tc>
        <w:tc>
          <w:tcPr/>
          <w:p>
            <w:pPr>
              <w:pStyle w:val="Compact"/>
            </w:pPr>
            <w:r>
              <w:t xml:space="preserve">my</w:t>
            </w:r>
          </w:p>
        </w:tc>
      </w:tr>
    </w:tbl>
    <w:bookmarkStart w:id="13" w:name="Xb2be011ea7aeba6685135c0b5b8b68d11451fdc"/>
    <w:p>
      <w:pPr>
        <w:pStyle w:val="Heading3"/>
      </w:pPr>
      <w:r>
        <w:t xml:space="preserve">3.1 Konkrétní úvodní sekce do jedné obrazovky</w:t>
      </w:r>
    </w:p>
    <w:p>
      <w:pPr>
        <w:pStyle w:val="FirstParagraph"/>
      </w:pPr>
      <w:r>
        <w:rPr>
          <w:b/>
          <w:bCs/>
        </w:rPr>
        <w:t xml:space="preserve">Co jsme zjistili:</w:t>
      </w:r>
      <w:r>
        <w:t xml:space="preserve"> </w:t>
      </w:r>
      <w:r>
        <w:t xml:space="preserve">58 % lidí na počítači nedojde do čtvrtiny stránky; nadpis „Vaše IT v bezpečných rukou" by mohl použít kterýkoli konkurent.</w:t>
      </w:r>
      <w:r>
        <w:t xml:space="preserve"> </w:t>
      </w:r>
      <w:r>
        <w:rPr>
          <w:b/>
          <w:bCs/>
        </w:rPr>
        <w:t xml:space="preserve">Co doporučujeme:</w:t>
      </w:r>
      <w:r>
        <w:t xml:space="preserve"> </w:t>
      </w:r>
      <w:r>
        <w:t xml:space="preserve">nadpis s cílovkou a výsledkem, např. „Správa IT pro firmy do 50 lidí — odpovíme do 30 minut, platíte fixně za uživatele". Místo fotky serverovny lidé z týmu. Celá sekce do jedné obrazovky.</w:t>
      </w:r>
      <w:r>
        <w:t xml:space="preserve"> </w:t>
      </w:r>
      <w:r>
        <w:rPr>
          <w:b/>
          <w:bCs/>
        </w:rPr>
        <w:t xml:space="preserve">Proč:</w:t>
      </w:r>
      <w:r>
        <w:t xml:space="preserve"> </w:t>
      </w:r>
      <w:r>
        <w:t xml:space="preserve">obsah nad ohybem dostává většinu času stráveného na stránce (NN/g) a homepage musí do 5 sekund říct, co to je a pro koho.</w:t>
      </w:r>
      <w:r>
        <w:t xml:space="preserve"> </w:t>
      </w:r>
      <w:r>
        <w:rPr>
          <w:b/>
          <w:bCs/>
        </w:rPr>
        <w:t xml:space="preserve">Jak poznáme, že to funguje:</w:t>
      </w:r>
      <w:r>
        <w:t xml:space="preserve"> </w:t>
      </w:r>
      <w:r>
        <w:t xml:space="preserve">víc lidí dojde do čtvrtiny stránky (dnes 42 %).</w:t>
      </w:r>
    </w:p>
    <w:bookmarkEnd w:id="13"/>
    <w:bookmarkStart w:id="14" w:name="Xa18c3f145522bfddba388e71cf79cd4b9438f2a"/>
    <w:p>
      <w:pPr>
        <w:pStyle w:val="Heading3"/>
      </w:pPr>
      <w:r>
        <w:t xml:space="preserve">3.2 Nejsilnější reference staticky pod úvod</w:t>
      </w:r>
    </w:p>
    <w:p>
      <w:pPr>
        <w:pStyle w:val="FirstParagraph"/>
      </w:pPr>
      <w:r>
        <w:rPr>
          <w:b/>
          <w:bCs/>
        </w:rPr>
        <w:t xml:space="preserve">Co jsme zjistili:</w:t>
      </w:r>
      <w:r>
        <w:t xml:space="preserve"> </w:t>
      </w:r>
      <w:r>
        <w:t xml:space="preserve">reference vidí 19 % lidí a tu nejsilnější nikdo.</w:t>
      </w:r>
      <w:r>
        <w:t xml:space="preserve"> </w:t>
      </w:r>
      <w:r>
        <w:rPr>
          <w:b/>
          <w:bCs/>
        </w:rPr>
        <w:t xml:space="preserve">Co doporučujeme:</w:t>
      </w:r>
      <w:r>
        <w:t xml:space="preserve"> </w:t>
      </w:r>
      <w:r>
        <w:t xml:space="preserve">carousel zrušit; pod úvod jednu referenci s číslem, jménem a fotkou klienta a řadu 4–6 log.</w:t>
      </w:r>
      <w:r>
        <w:t xml:space="preserve"> </w:t>
      </w:r>
      <w:r>
        <w:rPr>
          <w:b/>
          <w:bCs/>
        </w:rPr>
        <w:t xml:space="preserve">Proč:</w:t>
      </w:r>
      <w:r>
        <w:t xml:space="preserve"> </w:t>
      </w:r>
      <w:r>
        <w:t xml:space="preserve">u B2B služeb jsou případové studie s čísly nejsilnější argument při rozhodování; carousely lidé přeskakují jako reklamu (NN/g).</w:t>
      </w:r>
      <w:r>
        <w:t xml:space="preserve"> </w:t>
      </w:r>
      <w:r>
        <w:rPr>
          <w:b/>
          <w:bCs/>
        </w:rPr>
        <w:t xml:space="preserve">Jak poznáme, že to funguje:</w:t>
      </w:r>
      <w:r>
        <w:t xml:space="preserve"> </w:t>
      </w:r>
      <w:r>
        <w:t xml:space="preserve">víc lidí dojde k referencím a klikne na celou případovou studii.</w:t>
      </w:r>
    </w:p>
    <w:bookmarkEnd w:id="14"/>
    <w:bookmarkStart w:id="15" w:name="X1d4822926dd9ec99c93ff92b64f570e3e02e878"/>
    <w:p>
      <w:pPr>
        <w:pStyle w:val="Heading3"/>
      </w:pPr>
      <w:r>
        <w:t xml:space="preserve">3.3 Lehký první krok: audit zdarma + ceník</w:t>
      </w:r>
    </w:p>
    <w:p>
      <w:pPr>
        <w:pStyle w:val="FirstParagraph"/>
      </w:pPr>
      <w:r>
        <w:rPr>
          <w:b/>
          <w:bCs/>
        </w:rPr>
        <w:t xml:space="preserve">Co jsme zjistili:</w:t>
      </w:r>
      <w:r>
        <w:t xml:space="preserve"> </w:t>
      </w:r>
      <w:r>
        <w:t xml:space="preserve">na poptávku klikne 0,9 % návštěv; jiná cesta neexistuje.</w:t>
      </w:r>
      <w:r>
        <w:t xml:space="preserve"> </w:t>
      </w:r>
      <w:r>
        <w:rPr>
          <w:b/>
          <w:bCs/>
        </w:rPr>
        <w:t xml:space="preserve">Co doporučujeme:</w:t>
      </w:r>
      <w:r>
        <w:t xml:space="preserve"> </w:t>
      </w:r>
      <w:r>
        <w:t xml:space="preserve">hlavní tlačítko „Rezervovat 30min audit IT zdarma" (se jménem technika) a vedle „Stáhnout ceník".</w:t>
      </w:r>
      <w:r>
        <w:t xml:space="preserve"> </w:t>
      </w:r>
      <w:r>
        <w:rPr>
          <w:b/>
          <w:bCs/>
        </w:rPr>
        <w:t xml:space="preserve">Proč:</w:t>
      </w:r>
      <w:r>
        <w:t xml:space="preserve"> </w:t>
      </w:r>
      <w:r>
        <w:t xml:space="preserve">konkrétní nízkorizikový krok funguje líp než obecné „Kontaktujte nás" a snižuje obavu z prvního kontaktu (LIFT).</w:t>
      </w:r>
      <w:r>
        <w:t xml:space="preserve"> </w:t>
      </w:r>
      <w:r>
        <w:rPr>
          <w:b/>
          <w:bCs/>
        </w:rPr>
        <w:t xml:space="preserve">Jak poznáme, že to funguje:</w:t>
      </w:r>
      <w:r>
        <w:t xml:space="preserve"> </w:t>
      </w:r>
      <w:r>
        <w:t xml:space="preserve">rezervace a stažení ceníku (měření nastavíme my).</w:t>
      </w:r>
    </w:p>
    <w:bookmarkEnd w:id="15"/>
    <w:bookmarkStart w:id="16" w:name="X0c26954c72fd27272d0321ff19ef1457aa66c6c"/>
    <w:p>
      <w:pPr>
        <w:pStyle w:val="Heading3"/>
      </w:pPr>
      <w:r>
        <w:t xml:space="preserve">3.4 Ikony „Proč my" rozvést do textu s důkazem</w:t>
      </w:r>
    </w:p>
    <w:p>
      <w:pPr>
        <w:pStyle w:val="FirstParagraph"/>
      </w:pPr>
      <w:r>
        <w:rPr>
          <w:b/>
          <w:bCs/>
        </w:rPr>
        <w:t xml:space="preserve">Co jsme zjistili:</w:t>
      </w:r>
      <w:r>
        <w:t xml:space="preserve"> </w:t>
      </w:r>
      <w:r>
        <w:t xml:space="preserve">lidé na ikony klikají, ale nic se nestane.</w:t>
      </w:r>
      <w:r>
        <w:t xml:space="preserve"> </w:t>
      </w:r>
      <w:r>
        <w:rPr>
          <w:b/>
          <w:bCs/>
        </w:rPr>
        <w:t xml:space="preserve">Co doporučujeme:</w:t>
      </w:r>
      <w:r>
        <w:t xml:space="preserve"> </w:t>
      </w:r>
      <w:r>
        <w:t xml:space="preserve">ke každé ikoně jednu větu s důkazem, např. „Odezva do 30 minut — průměr za 2025: 14 minut".</w:t>
      </w:r>
      <w:r>
        <w:t xml:space="preserve"> </w:t>
      </w:r>
      <w:r>
        <w:rPr>
          <w:b/>
          <w:bCs/>
        </w:rPr>
        <w:t xml:space="preserve">Proč:</w:t>
      </w:r>
      <w:r>
        <w:t xml:space="preserve"> </w:t>
      </w:r>
      <w:r>
        <w:t xml:space="preserve">prvek, který vypadá klikatelně a nereaguje, zvyšuje nejistotu a odvádí pozornost od hlavní akce.</w:t>
      </w:r>
      <w:r>
        <w:t xml:space="preserve"> </w:t>
      </w:r>
      <w:r>
        <w:rPr>
          <w:b/>
          <w:bCs/>
        </w:rPr>
        <w:t xml:space="preserve">Jak poznáme, že to funguje:</w:t>
      </w:r>
      <w:r>
        <w:t xml:space="preserve"> </w:t>
      </w:r>
      <w:r>
        <w:t xml:space="preserve">kliky naprázdno v té oblasti zmizí.</w:t>
      </w:r>
    </w:p>
    <w:bookmarkEnd w:id="16"/>
    <w:bookmarkStart w:id="17" w:name="X4bd70e20edbf97a89183b1f2351350dd0d01a0d"/>
    <w:p>
      <w:pPr>
        <w:pStyle w:val="Heading3"/>
      </w:pPr>
      <w:r>
        <w:t xml:space="preserve">3.5 Formulář na 3 pole a výš na stránku</w:t>
      </w:r>
    </w:p>
    <w:p>
      <w:pPr>
        <w:pStyle w:val="FirstParagraph"/>
      </w:pPr>
      <w:r>
        <w:rPr>
          <w:b/>
          <w:bCs/>
        </w:rPr>
        <w:t xml:space="preserve">Co jsme zjistili:</w:t>
      </w:r>
      <w:r>
        <w:t xml:space="preserve"> </w:t>
      </w:r>
      <w:r>
        <w:t xml:space="preserve">formulář vidí 11 % lidí; odpadají u „Počet zaměstnanců".</w:t>
      </w:r>
      <w:r>
        <w:t xml:space="preserve"> </w:t>
      </w:r>
      <w:r>
        <w:rPr>
          <w:b/>
          <w:bCs/>
        </w:rPr>
        <w:t xml:space="preserve">Co doporučujeme:</w:t>
      </w:r>
      <w:r>
        <w:t xml:space="preserve"> </w:t>
      </w:r>
      <w:r>
        <w:t xml:space="preserve">3 pole (jméno, kontakt, zpráva) hned pod služby; zbytek doptat v hovoru; nad formulář „Ozve se vám Petr, do 30 minut".</w:t>
      </w:r>
      <w:r>
        <w:t xml:space="preserve"> </w:t>
      </w:r>
      <w:r>
        <w:rPr>
          <w:b/>
          <w:bCs/>
        </w:rPr>
        <w:t xml:space="preserve">Proč:</w:t>
      </w:r>
      <w:r>
        <w:t xml:space="preserve"> </w:t>
      </w:r>
      <w:r>
        <w:t xml:space="preserve">v B2B má první kontakt chtít jen nutné minimum; kvalifikace patří do hovoru.</w:t>
      </w:r>
      <w:r>
        <w:t xml:space="preserve"> </w:t>
      </w:r>
      <w:r>
        <w:rPr>
          <w:b/>
          <w:bCs/>
        </w:rPr>
        <w:t xml:space="preserve">Jak poznáme, že to funguje:</w:t>
      </w:r>
      <w:r>
        <w:t xml:space="preserve"> </w:t>
      </w:r>
      <w:r>
        <w:t xml:space="preserve">víc lidí formulář začne i dokončí.</w:t>
      </w:r>
    </w:p>
    <w:bookmarkEnd w:id="17"/>
    <w:bookmarkEnd w:id="18"/>
    <w:bookmarkStart w:id="19" w:name="Xc074826c8070d391b92a9b5ec218f99e5b33f78"/>
    <w:p>
      <w:pPr>
        <w:pStyle w:val="Heading2"/>
      </w:pPr>
      <w:r>
        <w:t xml:space="preserve">4. Postup a měření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Týden 1:</w:t>
      </w:r>
      <w:r>
        <w:t xml:space="preserve"> </w:t>
      </w:r>
      <w:r>
        <w:t xml:space="preserve">my nastavíme měření rezervací a stažení ceníku.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Týden 1–2:</w:t>
      </w:r>
      <w:r>
        <w:t xml:space="preserve"> </w:t>
      </w:r>
      <w:r>
        <w:t xml:space="preserve">doporučení 1–3 najednou (hlavně texty a pořadí sekcí).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Druhá vlna:</w:t>
      </w:r>
      <w:r>
        <w:t xml:space="preserve"> </w:t>
      </w:r>
      <w:r>
        <w:t xml:space="preserve">doporučení 4–5.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Vyhodnocení:</w:t>
      </w:r>
      <w:r>
        <w:t xml:space="preserve"> </w:t>
      </w:r>
      <w:r>
        <w:t xml:space="preserve">porovnání před a po, 2–4 týdny po nasazení; pak znovu audit na stejnou stránku. Na A/B test je návštěvnost malá.</w:t>
      </w:r>
    </w:p>
    <w:bookmarkEnd w:id="19"/>
    <w:bookmarkStart w:id="20" w:name="Xef648a37b35f4b33caa1ea5033ae2814eeee89d"/>
    <w:p>
      <w:pPr>
        <w:pStyle w:val="Heading2"/>
      </w:pPr>
      <w:r>
        <w:t xml:space="preserve">5. Výhrady</w:t>
      </w:r>
    </w:p>
    <w:p>
      <w:pPr>
        <w:pStyle w:val="Compact"/>
        <w:numPr>
          <w:ilvl w:val="0"/>
          <w:numId w:val="1003"/>
        </w:numPr>
      </w:pPr>
      <w:r>
        <w:t xml:space="preserve">Clarity ukazuje,</w:t>
      </w:r>
      <w:r>
        <w:t xml:space="preserve"> </w:t>
      </w:r>
      <w:r>
        <w:rPr>
          <w:b/>
          <w:bCs/>
        </w:rPr>
        <w:t xml:space="preserve">kde a proč</w:t>
      </w:r>
      <w:r>
        <w:t xml:space="preserve"> </w:t>
      </w:r>
      <w:r>
        <w:t xml:space="preserve">lidé odcházejí, ne kolik poptávek změny přinesou. To ověříme v GA4.</w:t>
      </w:r>
    </w:p>
    <w:p>
      <w:pPr>
        <w:pStyle w:val="Compact"/>
        <w:numPr>
          <w:ilvl w:val="0"/>
          <w:numId w:val="1003"/>
        </w:numPr>
      </w:pPr>
      <w:r>
        <w:t xml:space="preserve">Kvůli souhlasu s cookies Clarity nevidí všechny návštěvníky — čísla jsou spodní hranice.</w:t>
      </w:r>
    </w:p>
    <w:p>
      <w:pPr>
        <w:pStyle w:val="Compact"/>
        <w:numPr>
          <w:ilvl w:val="0"/>
          <w:numId w:val="1003"/>
        </w:numPr>
      </w:pPr>
      <w:r>
        <w:t xml:space="preserve">Kliky naprázdno na ikonách (38) jsou na hranici spolehlivosti, berte je jako směr.</w:t>
      </w:r>
    </w:p>
    <w:bookmarkEnd w:id="20"/>
    <w:bookmarkEnd w:id="21"/>
    <w:sectPr>
      <w:footnotePr>
        <w:numRestart w:val="eachSect"/>
      </w:footnotePr>
      <w:pgSz w:h="16838" w:w="11906"/>
      <w:pgMar w:bottom="1247" w:left="1247" w:right="1247" w:top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color w:val="1F2A37"/>
      <w:sz w:val="21"/>
    </w:rPr>
  </w:style>
  <w:style w:styleId="BodyText" w:type="paragraph">
    <w:name w:val="Body Text"/>
    <w:basedOn w:val="Normal"/>
    <w:link w:val="BodyTextChar"/>
    <w:qFormat/>
    <w:pPr>
      <w:spacing w:after="120" w:before="0" w:line="276" w:lineRule="auto"/>
    </w:pPr>
    <w:rPr>
      <w:rFonts w:ascii="Calibri" w:cs="Calibri" w:eastAsia="Calibri" w:hAnsi="Calibri"/>
      <w:color w:val="1F2A37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276" w:lineRule="auto"/>
    </w:pPr>
    <w:rPr>
      <w:rFonts w:ascii="Calibri" w:cs="Calibri" w:eastAsia="Calibri" w:hAnsi="Calibri"/>
      <w:color w:val="1F2A37"/>
      <w:sz w:val="21"/>
    </w:rPr>
  </w:style>
  <w:style w:customStyle="1" w:styleId="Compact" w:type="paragraph">
    <w:name w:val="Compact"/>
    <w:basedOn w:val="BodyText"/>
    <w:qFormat/>
    <w:pPr>
      <w:spacing w:after="40" w:before="0" w:line="264" w:lineRule="auto"/>
    </w:pPr>
    <w:rPr>
      <w:rFonts w:ascii="Calibri" w:cs="Calibri" w:eastAsia="Calibri" w:hAnsi="Calibri"/>
      <w:color w:val="1F2A37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40" w:before="0" w:line="240" w:lineRule="auto"/>
      <w:contextualSpacing/>
      <w:jc w:val="center"/>
    </w:pPr>
    <w:rPr>
      <w:rFonts w:ascii="Calibri" w:cs="Calibri" w:eastAsia="Calibri" w:hAnsi="Calibri"/>
      <w:b/>
      <w:color w:val="1F2A37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cs="Calibri" w:eastAsia="Calibri" w:hAnsi="Calibri"/>
      <w:b w:val="0"/>
      <w:color w:val="55606E"/>
      <w:spacing w:val="15"/>
      <w:sz w:val="22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Calibri" w:cs="Calibri" w:eastAsia="Calibri" w:hAnsi="Calibri"/>
      <w:b w:val="0"/>
      <w:color w:val="55606E"/>
      <w:sz w:val="22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Calibri" w:cs="Calibri" w:eastAsia="Calibri" w:hAnsi="Calibri"/>
      <w:b w:val="0"/>
      <w:color w:val="55606E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360"/>
      <w:outlineLvl w:val="0"/>
    </w:pPr>
    <w:rPr>
      <w:rFonts w:ascii="Calibri" w:cs="Calibri" w:eastAsia="Calibri" w:hAnsi="Calibri"/>
      <w:b/>
      <w:i w:val="0"/>
      <w:color w:val="1F2A37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80"/>
      <w:outlineLvl w:val="1"/>
    </w:pPr>
    <w:rPr>
      <w:rFonts w:ascii="Calibri" w:cs="Calibri" w:eastAsia="Calibri" w:hAnsi="Calibri"/>
      <w:b/>
      <w:i w:val="0"/>
      <w:color w:val="0B5F73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ascii="Calibri" w:cs="Calibri" w:eastAsia="Calibri" w:hAnsi="Calibri"/>
      <w:b/>
      <w:i w:val="0"/>
      <w:color w:val="1F2A37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160"/>
      <w:outlineLvl w:val="3"/>
    </w:pPr>
    <w:rPr>
      <w:rFonts w:ascii="Calibri" w:cs="Calibri" w:eastAsia="Calibri" w:hAnsi="Calibri"/>
      <w:b/>
      <w:i w:val="0"/>
      <w:iCs/>
      <w:color w:val="55606E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120"/>
      <w:pBdr>
        <w:left w:color="0B5F73" w:space="8" w:sz="18" w:val="single"/>
      </w:pBdr>
      <w:shd w:color="auto" w:fill="EAF3F5" w:val="clear"/>
      <w:ind w:left="284" w:right="0"/>
    </w:pPr>
    <w:rPr>
      <w:rFonts w:ascii="Calibri" w:cs="Calibri" w:eastAsia="Calibri" w:hAnsi="Calibri"/>
      <w:b w:val="0"/>
      <w:i w:val="0"/>
      <w:color w:val="1F2A37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1D9" w:space="0" w:sz="4" w:val="single"/>
        <w:left w:color="C9D1D9" w:space="0" w:sz="4" w:val="single"/>
        <w:bottom w:color="C9D1D9" w:space="0" w:sz="4" w:val="single"/>
        <w:right w:color="C9D1D9" w:space="0" w:sz="4" w:val="single"/>
        <w:insideH w:color="C9D1D9" w:space="0" w:sz="4" w:val="single"/>
        <w:insideV w:color="C9D1D9" w:space="0" w:sz="4" w:val="single"/>
      </w:tblBorders>
    </w:tblPr>
    <w:tblStylePr w:type="firstRow">
      <w:rPr>
        <w:b/>
      </w:rPr>
      <w:tcPr>
        <w:shd w:color="auto" w:fill="EEF2F5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Calibri" w:cs="Calibri" w:eastAsia="Calibri" w:hAnsi="Calibri"/>
      <w:color w:val="0B5F73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z/" TargetMode="External" /><Relationship Type="http://schemas.openxmlformats.org/officeDocument/2006/relationships/hyperlink" Id="rId10" Target="ukazkova-technicka-priloha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z/" TargetMode="External" /><Relationship Type="http://schemas.openxmlformats.org/officeDocument/2006/relationships/hyperlink" Id="rId10" Target="ukazkova-technicka-priloha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2026-09-29T12:54:52Z</dcterms:created>
  <dcterms:modified xsi:type="dcterms:W3CDTF">2026-09-29T12:54:52Z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