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2026, the </w:t>
      </w:r>
      <w:r w:rsidDel="00000000" w:rsidR="00000000" w:rsidRPr="00000000">
        <w:rPr>
          <w:rFonts w:ascii="Google Sans Text" w:cs="Google Sans Text" w:eastAsia="Google Sans Text" w:hAnsi="Google Sans Text"/>
          <w:b w:val="1"/>
          <w:bCs w:val="1"/>
          <w:color w:val="1f1f1f"/>
          <w:rtl w:val="0"/>
        </w:rPr>
        <w:t xml:space="preserve">$15 million individual tax exemption</w:t>
      </w:r>
      <w:r w:rsidDel="00000000" w:rsidR="00000000" w:rsidRPr="00000000">
        <w:rPr>
          <w:rFonts w:ascii="Google Sans Text" w:cs="Google Sans Text" w:eastAsia="Google Sans Text" w:hAnsi="Google Sans Text"/>
          <w:color w:val="1f1f1f"/>
          <w:rtl w:val="0"/>
        </w:rPr>
        <w:t xml:space="preserve"> (locked in by the </w:t>
      </w:r>
      <w:r w:rsidDel="00000000" w:rsidR="00000000" w:rsidRPr="00000000">
        <w:rPr>
          <w:rFonts w:ascii="Google Sans Text" w:cs="Google Sans Text" w:eastAsia="Google Sans Text" w:hAnsi="Google Sans Text"/>
          <w:i w:val="1"/>
          <w:iCs w:val="1"/>
          <w:color w:val="1f1f1f"/>
          <w:rtl w:val="0"/>
        </w:rPr>
        <w:t xml:space="preserve">One Big Beautiful Bill Act</w:t>
      </w:r>
      <w:r w:rsidDel="00000000" w:rsidR="00000000" w:rsidRPr="00000000">
        <w:rPr>
          <w:rFonts w:ascii="Google Sans Text" w:cs="Google Sans Text" w:eastAsia="Google Sans Text" w:hAnsi="Google Sans Text"/>
          <w:color w:val="1f1f1f"/>
          <w:rtl w:val="0"/>
        </w:rPr>
        <w:t xml:space="preserve">) has made succession planning more stable, but also more critical. The goal of a </w:t>
      </w:r>
      <w:r w:rsidDel="00000000" w:rsidR="00000000" w:rsidRPr="00000000">
        <w:rPr>
          <w:rFonts w:ascii="Google Sans Text" w:cs="Google Sans Text" w:eastAsia="Google Sans Text" w:hAnsi="Google Sans Text"/>
          <w:b w:val="1"/>
          <w:bCs w:val="1"/>
          <w:color w:val="1f1f1f"/>
          <w:rtl w:val="0"/>
        </w:rPr>
        <w:t xml:space="preserve">Succession Plan</w:t>
      </w:r>
      <w:r w:rsidDel="00000000" w:rsidR="00000000" w:rsidRPr="00000000">
        <w:rPr>
          <w:rFonts w:ascii="Google Sans Text" w:cs="Google Sans Text" w:eastAsia="Google Sans Text" w:hAnsi="Google Sans Text"/>
          <w:color w:val="1f1f1f"/>
          <w:rtl w:val="0"/>
        </w:rPr>
        <w:t xml:space="preserve"> within your Wealth Architecture is to ensure that if you are no longer the "Architect," the "Building" continues to function exactly as you designed it—without the interference of probate courts or family infighting.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your structure, you are shifting from </w:t>
      </w:r>
      <w:r w:rsidDel="00000000" w:rsidR="00000000" w:rsidRPr="00000000">
        <w:rPr>
          <w:rFonts w:ascii="Google Sans Text" w:cs="Google Sans Text" w:eastAsia="Google Sans Text" w:hAnsi="Google Sans Text"/>
          <w:b w:val="1"/>
          <w:bCs w:val="1"/>
          <w:color w:val="1f1f1f"/>
          <w:rtl w:val="0"/>
        </w:rPr>
        <w:t xml:space="preserve">Manager</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b w:val="1"/>
          <w:bCs w:val="1"/>
          <w:color w:val="1f1f1f"/>
          <w:rtl w:val="0"/>
        </w:rPr>
        <w:t xml:space="preserve">Successor Manager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The Successor Manager Clause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Add this to your Operating Agreement to name your "Second-in-Command."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ind w:left="48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Section 10.6: Designation of Successor Manager.</w:t>
      </w:r>
      <w:r w:rsidDel="00000000" w:rsidR="00000000" w:rsidRPr="00000000">
        <w:rPr>
          <w:rFonts w:ascii="Google Sans Text" w:cs="Google Sans Text" w:eastAsia="Google Sans Text" w:hAnsi="Google Sans Text"/>
          <w:color w:val="1f1f1f"/>
          <w:rtl w:val="0"/>
        </w:rPr>
        <w:t xml:space="preserve"> Upon the death, resignation, or permanent incapacity of the Founding Manager, </w:t>
      </w:r>
      <w:r w:rsidDel="00000000" w:rsidR="00000000" w:rsidRPr="00000000">
        <w:rPr>
          <w:rFonts w:ascii="Google Sans Text" w:cs="Google Sans Text" w:eastAsia="Google Sans Text" w:hAnsi="Google Sans Text"/>
          <w:b w:val="1"/>
          <w:bCs w:val="1"/>
          <w:color w:val="1f1f1f"/>
          <w:rtl w:val="0"/>
        </w:rPr>
        <w:t xml:space="preserve">[Name of Successor]</w:t>
      </w:r>
      <w:r w:rsidDel="00000000" w:rsidR="00000000" w:rsidRPr="00000000">
        <w:rPr>
          <w:rFonts w:ascii="Google Sans Text" w:cs="Google Sans Text" w:eastAsia="Google Sans Text" w:hAnsi="Google Sans Text"/>
          <w:color w:val="1f1f1f"/>
          <w:rtl w:val="0"/>
        </w:rPr>
        <w:t xml:space="preserve"> (the "Successor Manager") shall immediately and automatically be vested with all the powers, rights, and duties of the Manager as set forth in this Agreement.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48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Standard of Care:</w:t>
      </w:r>
      <w:r w:rsidDel="00000000" w:rsidR="00000000" w:rsidRPr="00000000">
        <w:rPr>
          <w:rFonts w:ascii="Google Sans Text" w:cs="Google Sans Text" w:eastAsia="Google Sans Text" w:hAnsi="Google Sans Text"/>
          <w:color w:val="1f1f1f"/>
          <w:rtl w:val="0"/>
        </w:rPr>
        <w:t xml:space="preserve"> The Successor Manager shall be bound by the "Mission Statement" and "Statement of Faith" of the [Name of 508(c)(1)(a)], ensuring that the Company's assets are managed as a sacred trust for the benefit of the Ministry's charitable purposes.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"Competency Bridge" (Training the Next Gen)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Wealth Architects do not simply "hand over the keys." They use a three-stage transition to ensure the successor is ready.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Stage 1: Education (Ages 18–25)</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Role:</w:t>
      </w:r>
      <w:r w:rsidDel="00000000" w:rsidR="00000000" w:rsidRPr="00000000">
        <w:rPr>
          <w:rFonts w:ascii="Google Sans Text" w:cs="Google Sans Text" w:eastAsia="Google Sans Text" w:hAnsi="Google Sans Text"/>
          <w:color w:val="1f1f1f"/>
          <w:rtl w:val="0"/>
        </w:rPr>
        <w:t xml:space="preserve"> "Observer."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The successor attends "Elder Council" meetings for the 508(c)(1)(a) but has no vote. They are tasked with researching potential grants or "Stewardship Opportunities" for the year.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Architecture Move:</w:t>
      </w:r>
      <w:r w:rsidDel="00000000" w:rsidR="00000000" w:rsidRPr="00000000">
        <w:rPr>
          <w:rFonts w:ascii="Google Sans Text" w:cs="Google Sans Text" w:eastAsia="Google Sans Text" w:hAnsi="Google Sans Text"/>
          <w:color w:val="1f1f1f"/>
          <w:rtl w:val="0"/>
        </w:rPr>
        <w:t xml:space="preserve"> The Ministry pays for their specialized education (e.g., an MBA or a course in Non-Profit Management) as a legitimate ministerial training expense.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Stage 2: Engagement (Ages 25–35)</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Role:</w:t>
      </w:r>
      <w:r w:rsidDel="00000000" w:rsidR="00000000" w:rsidRPr="00000000">
        <w:rPr>
          <w:rFonts w:ascii="Google Sans Text" w:cs="Google Sans Text" w:eastAsia="Google Sans Text" w:hAnsi="Google Sans Text"/>
          <w:color w:val="1f1f1f"/>
          <w:rtl w:val="0"/>
        </w:rPr>
        <w:t xml:space="preserve"> "Junior Manager."</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You grant them limited authority over the </w:t>
      </w:r>
      <w:r w:rsidDel="00000000" w:rsidR="00000000" w:rsidRPr="00000000">
        <w:rPr>
          <w:rFonts w:ascii="Google Sans Text" w:cs="Google Sans Text" w:eastAsia="Google Sans Text" w:hAnsi="Google Sans Text"/>
          <w:b w:val="1"/>
          <w:bCs w:val="1"/>
          <w:color w:val="1f1f1f"/>
          <w:rtl w:val="0"/>
        </w:rPr>
        <w:t xml:space="preserve">Lifestyle Fund</w:t>
      </w:r>
      <w:r w:rsidDel="00000000" w:rsidR="00000000" w:rsidRPr="00000000">
        <w:rPr>
          <w:rFonts w:ascii="Google Sans Text" w:cs="Google Sans Text" w:eastAsia="Google Sans Text" w:hAnsi="Google Sans Text"/>
          <w:color w:val="1f1f1f"/>
          <w:rtl w:val="0"/>
        </w:rPr>
        <w:t xml:space="preserve"> or a specific sub-LLC within the Capital Engine. They manage a budget and must report their "Return on Stewardship" to you quarterly.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Architecture Move:</w:t>
      </w:r>
      <w:r w:rsidDel="00000000" w:rsidR="00000000" w:rsidRPr="00000000">
        <w:rPr>
          <w:rFonts w:ascii="Google Sans Text" w:cs="Google Sans Text" w:eastAsia="Google Sans Text" w:hAnsi="Google Sans Text"/>
          <w:color w:val="1f1f1f"/>
          <w:rtl w:val="0"/>
        </w:rPr>
        <w:t xml:space="preserve"> This builds a "track record" that the IRS respects, showing that they are truly functioning as a leader in a faith-based organization.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Stage 3: Empowerment (The Handover)</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Role:</w:t>
      </w:r>
      <w:r w:rsidDel="00000000" w:rsidR="00000000" w:rsidRPr="00000000">
        <w:rPr>
          <w:rFonts w:ascii="Google Sans Text" w:cs="Google Sans Text" w:eastAsia="Google Sans Text" w:hAnsi="Google Sans Text"/>
          <w:color w:val="1f1f1f"/>
          <w:rtl w:val="0"/>
        </w:rPr>
        <w:t xml:space="preserve"> "Co-Manager."</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You update the Operating Agreement to give them "Co-Signing" authority. You are still the Founding Manager with veto power, but they handle the day-to-day "plumbing" of the Legacy Suite.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"Trigger" Protocol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succession plan only works if everyone knows what "Trigger" activates it. In your </w:t>
      </w:r>
      <w:r w:rsidDel="00000000" w:rsidR="00000000" w:rsidRPr="00000000">
        <w:rPr>
          <w:rFonts w:ascii="Google Sans Text" w:cs="Google Sans Text" w:eastAsia="Google Sans Text" w:hAnsi="Google Sans Text"/>
          <w:b w:val="1"/>
          <w:bCs w:val="1"/>
          <w:color w:val="1f1f1f"/>
          <w:rtl w:val="0"/>
        </w:rPr>
        <w:t xml:space="preserve">The Vault</w:t>
      </w:r>
      <w:r w:rsidDel="00000000" w:rsidR="00000000" w:rsidRPr="00000000">
        <w:rPr>
          <w:rFonts w:ascii="Google Sans Text" w:cs="Google Sans Text" w:eastAsia="Google Sans Text" w:hAnsi="Google Sans Text"/>
          <w:color w:val="1f1f1f"/>
          <w:rtl w:val="0"/>
        </w:rPr>
        <w:t xml:space="preserve">, you should have a </w:t>
      </w:r>
      <w:r w:rsidDel="00000000" w:rsidR="00000000" w:rsidRPr="00000000">
        <w:rPr>
          <w:rFonts w:ascii="Google Sans Text" w:cs="Google Sans Text" w:eastAsia="Google Sans Text" w:hAnsi="Google Sans Text"/>
          <w:b w:val="1"/>
          <w:bCs w:val="1"/>
          <w:color w:val="1f1f1f"/>
          <w:rtl w:val="0"/>
        </w:rPr>
        <w:t xml:space="preserve">Letter of Instruction</w:t>
      </w:r>
      <w:r w:rsidDel="00000000" w:rsidR="00000000" w:rsidRPr="00000000">
        <w:rPr>
          <w:rFonts w:ascii="Google Sans Text" w:cs="Google Sans Text" w:eastAsia="Google Sans Text" w:hAnsi="Google Sans Text"/>
          <w:color w:val="1f1f1f"/>
          <w:rtl w:val="0"/>
        </w:rPr>
        <w:t xml:space="preserve"> that includes: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Incapacity Clause:</w:t>
      </w:r>
      <w:r w:rsidDel="00000000" w:rsidR="00000000" w:rsidRPr="00000000">
        <w:rPr>
          <w:rFonts w:ascii="Google Sans Text" w:cs="Google Sans Text" w:eastAsia="Google Sans Text" w:hAnsi="Google Sans Text"/>
          <w:color w:val="1f1f1f"/>
          <w:rtl w:val="0"/>
        </w:rPr>
        <w:t xml:space="preserve"> Use a "Two-Physician Rule." Succession only triggers if two independent doctors certify in writing that you are unable to manage your affairs. This prevents a "palace coup."</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Digital Key:</w:t>
      </w:r>
      <w:r w:rsidDel="00000000" w:rsidR="00000000" w:rsidRPr="00000000">
        <w:rPr>
          <w:rFonts w:ascii="Google Sans Text" w:cs="Google Sans Text" w:eastAsia="Google Sans Text" w:hAnsi="Google Sans Text"/>
          <w:color w:val="1f1f1f"/>
          <w:rtl w:val="0"/>
        </w:rPr>
        <w:t xml:space="preserve"> A secure record of all login credentials for the LLC bank accounts, the Ministry's EIN records, and any private keys for digital assets.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"Professional Circle":</w:t>
      </w:r>
      <w:r w:rsidDel="00000000" w:rsidR="00000000" w:rsidRPr="00000000">
        <w:rPr>
          <w:rFonts w:ascii="Google Sans Text" w:cs="Google Sans Text" w:eastAsia="Google Sans Text" w:hAnsi="Google Sans Text"/>
          <w:color w:val="1f1f1f"/>
          <w:rtl w:val="0"/>
        </w:rPr>
        <w:t xml:space="preserve"> A list of the specific attorney, CPA, and Wealth Architect who understand this 508(c)(1)(a) structure.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Succession Checklist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Name Successor in LLC Operating Agreement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Financial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Add Successor as "Inquiry Only" on Bank Accounts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Cultural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Finalize "Letter of Wishes" (Personal guidance)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Secure "Digital Vault" Access (Passwords/Keys)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p>
        </w:tc>
      </w:tr>
    </w:tbl>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The Architect's Final Thought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The most successful legacies don't just leave money; they leave a </w:t>
      </w:r>
      <w:r w:rsidDel="00000000" w:rsidR="00000000" w:rsidRPr="00000000">
        <w:rPr>
          <w:rFonts w:ascii="Google Sans Text" w:cs="Google Sans Text" w:eastAsia="Google Sans Text" w:hAnsi="Google Sans Text"/>
          <w:b w:val="1"/>
          <w:bCs w:val="1"/>
          <w:color w:val="1f1f1f"/>
          <w:rtl w:val="0"/>
        </w:rPr>
        <w:t xml:space="preserve">Governance Culture</w:t>
      </w:r>
      <w:r w:rsidDel="00000000" w:rsidR="00000000" w:rsidRPr="00000000">
        <w:rPr>
          <w:rFonts w:ascii="Google Sans Text" w:cs="Google Sans Text" w:eastAsia="Google Sans Text" w:hAnsi="Google Sans Text"/>
          <w:color w:val="1f1f1f"/>
          <w:rtl w:val="0"/>
        </w:rPr>
        <w:t xml:space="preserve">. By setting up this succession now, you are telling the next generation: </w:t>
      </w:r>
      <w:r w:rsidDel="00000000" w:rsidR="00000000" w:rsidRPr="00000000">
        <w:rPr>
          <w:rFonts w:ascii="Google Sans Text" w:cs="Google Sans Text" w:eastAsia="Google Sans Text" w:hAnsi="Google Sans Text"/>
          <w:i w:val="1"/>
          <w:iCs w:val="1"/>
          <w:color w:val="1f1f1f"/>
          <w:rtl w:val="0"/>
        </w:rPr>
        <w:t xml:space="preserve">"This wealth is not a toy; it is an institution. You are not an owner; you are a steward."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Would you like me to draft a "Letter of Wishes" template that communicates the heart and values behind this complex legal structure to your family?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