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I've created a "Trust Schedule A: Asset Tracking Template" for you. This list includes common asset categories like real estate, bank accounts, and business interests to help you organize what needs to be moved into your trust.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Remember that for each item you add to this schedule, you must also legally change the title of that asset to the name of the trust (e.g., changing the deed for a house or the owner on a bank account).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Google Keep Trust Schedule A: Asset Tracking TemplateReal Estate (Primary Residence, Investment Property)Bank Accounts (Checking, Savings, Money Market)Investment Accounts (Brokerage, 401k, IRA)Business Interests (LLC Membership, Corporate Stock)Vehicles (Cars, Boats, RVs)Personal Property (Jewelry, Art, Collectibles)Life Insurance PoliciesDigital Assets (Crypto, Domain Names)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