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finalize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Wealth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you must transition from "Building" to "Operating." In 2026, the primary risk to a structure like yours isn't the market—it’s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administrative drift.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you treat your 508(c)(1)(a) like a "set it and forget it" tool, it loses its "Religious Purpose" shield.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Quarterly Compliance Calendar ensures your Legacy Suite remains a living, defensible institution.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2026 Quarterly Compliance &amp; Maintenance Calendar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Q1: The "Vision &amp; Foundation" Quarter (Jan – Mar)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Governance, Tax Planning, and New Year Strategy.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Board of Elders Meeting: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Hold your annual meeting to review the "Mission Statement" and "Statement of Faith." Even if it’s a family dinner, record the minutes.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1099 Review: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your LLC or Ministry paid contractors or "Stewardship Fees" over $600 last year, ensure 1099s are issued by Jan 31.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Exemption Verification: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 your LLC’s "Beneficial Ownership Information" (BOI) reporting is current with FinCEN (required for many entities as of 2024–2026).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T-Bill Ladder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Re-invest Q1 maturities. In 2026, monitor the Federal Reserve's target range (currently projected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3.0% – 3.5%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decide if you should lock in longer-term 26-week bills.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Q2: The "Liquidity &amp; Growth" Quarter (Apr – Jun)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Portfolio Rebalancing and Inflation Defense.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I-Bond Review: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May, the Treasury announces new I-Bond rates. Check if the current composite rate (currently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4.03%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still beating your HYSA.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Capital Engine Audit: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Review the performance of your Holding Company. If profits are higher than expected, consider a "Special Contribution" to the 508(c)(1)(a) to lower your personal tax liability.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Succession Drill: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Sit down with your Successor Manager. Show them one "Vault" document and explain its function. This is the "Education Phase" of your plan.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Q3: The "Mission &amp; Outreach" Quarter (Jul – Sep)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Grantmaking and Distribution Requirements.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5%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 the total value of your 508(c)(1)(a) assets. Ensure you have a plan to distribute or utilize 5% for "Qualifying Distributions" (grants, travel, or ministry education) by year-end.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Site Visits: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Board is traveling to visit a supported charity or attend a stewardship seminar, book the travel through the Ministry’s account this quarter.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 Digitization: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Scan any new physical receipts or contracts into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Vault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Q4: The "Preservation &amp; Legacy" Quarter (Oct – Dec)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Final Compliance and Gifting.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Annual Gift Exclusion: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2026, you can gift up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$19,000 per person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($38,000 for couples) without using your lifetime exemption. Coordinate these gifts through your "Lifestyle Fund."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Housing Allowance: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Ministry provides a "Housing Allowance" to a minister (yourself or an elder), this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 designated by the board in writing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before Jan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next year.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Vault Lockdown: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Change the master password to your Digital Vault and ensure your "Letter of Wishes" is still up to date with your current family dynamics.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Permanent "Vault" Folders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Retention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01_Foundational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508(c)(1)(a) Trust, Articles, Statement of Faith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Permanent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02_Control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LLC Operating Agreement, Succession Clauses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Permanent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03_Minutes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Signed Minutes from every Board/Elder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Permanent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04_Financial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T-Bill confirmations, bank statements, grant letters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 Years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05_Legacy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Letter of Wishes, Digital Key Ledger, Contacts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Current Only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Architect's Final Checklist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"Three-Signature"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any distribution over $5,000, ensure you have a "Board Resolution" signed in the file.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"No-Personal"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Never use the Ministry's debit card for a personal meal. Transfer the money to the "Lifestyle LLC" first as a management fee.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"Successor" Talk: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Make sure your successor knows where the physical "Emergency Key" to your vault is located.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Would you like me to wrap all of this into a single "Wealth Architecture Master PDF" summary that you can print and place in the front of your physical vault?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