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3.svg" ContentType="image/svg"/>
  <Override PartName="/word/media/image9.svg" ContentType="image/svg"/>
  <Override PartName="/word/media/image11.svg" ContentType="image/svg"/>
  <Override PartName="/word/media/image7.svg" ContentType="image/svg"/>
  <Override PartName="/word/media/image12.png" ContentType="image/png"/>
  <Override PartName="/word/media/image23.svg" ContentType="image/svg"/>
  <Override PartName="/word/media/image8.png" ContentType="image/png"/>
  <Override PartName="/word/media/image5.svg" ContentType="image/svg"/>
  <Override PartName="/word/media/image4.png" ContentType="image/png"/>
  <Override PartName="/word/media/image10.png" ContentType="image/png"/>
  <Override PartName="/word/media/image1.png" ContentType="image/png"/>
  <Override PartName="/word/media/image19.svg" ContentType="image/svg"/>
  <Override PartName="/word/media/image21.svg" ContentType="image/svg"/>
  <Override PartName="/word/media/image6.png" ContentType="image/png"/>
  <Override PartName="/word/media/image3.svg" ContentType="image/svg"/>
  <Override PartName="/word/media/image28.png" ContentType="image/png"/>
  <Override PartName="/word/media/image16.png" ContentType="image/png"/>
  <Override PartName="/word/media/image27.png" ContentType="image/png"/>
  <Override PartName="/word/media/image26.png" ContentType="image/png"/>
  <Override PartName="/word/media/image14.png" ContentType="image/png"/>
  <Override PartName="/word/media/image25.png" ContentType="image/png"/>
  <Override PartName="/word/media/image24.png" ContentType="image/png"/>
  <Override PartName="/word/media/image22.png" ContentType="image/png"/>
  <Override PartName="/word/media/image20.png" ContentType="image/png"/>
  <Override PartName="/word/media/image18.png" ContentType="image/png"/>
  <Override PartName="/word/media/image15.svg" ContentType="image/svg"/>
  <Override PartName="/word/media/image17.svg" ContentType="image/sv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Laureandosi 2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sz w:val="24"/>
          <w:szCs w:val="24"/>
        </w:rPr>
      </w:pPr>
      <w:r>
        <w:rPr/>
        <w:t>Progetto dell’esame di Ingegneria del Software</w:t>
      </w:r>
    </w:p>
    <w:p>
      <w:pPr>
        <w:pStyle w:val="Normal"/>
        <w:jc w:val="center"/>
        <w:rPr>
          <w:sz w:val="24"/>
          <w:szCs w:val="24"/>
        </w:rPr>
      </w:pPr>
      <w:r>
        <w:rPr/>
        <w:t>Corso di Laurea in Ingegneria Informatica, Università di Pisa</w:t>
      </w:r>
    </w:p>
    <w:p>
      <w:pPr>
        <w:pStyle w:val="Normal"/>
        <w:jc w:val="center"/>
        <w:rPr>
          <w:sz w:val="24"/>
          <w:szCs w:val="24"/>
        </w:rPr>
      </w:pPr>
      <w:r>
        <w:rPr/>
        <w:t>Anno Accademico 2025-26</w:t>
      </w:r>
    </w:p>
    <w:p>
      <w:pPr>
        <w:pStyle w:val="Normal"/>
        <w:jc w:val="center"/>
        <w:rPr>
          <w:sz w:val="24"/>
          <w:szCs w:val="24"/>
        </w:rPr>
      </w:pPr>
      <w:r>
        <w:rPr/>
        <w:t>Luca Maietti [680893]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648710" cy="3721735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372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6385_3431189521">
            <w:r>
              <w:rPr>
                <w:rStyle w:val="IndexLink"/>
              </w:rPr>
              <w:t>Premessa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387_3431189521">
            <w:r>
              <w:rPr>
                <w:rStyle w:val="IndexLink"/>
              </w:rPr>
              <w:t>Glossario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389_3431189521">
            <w:r>
              <w:rPr>
                <w:rStyle w:val="IndexLink"/>
              </w:rPr>
              <w:t>Requisiti Funzionali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391_3431189521">
            <w:r>
              <w:rPr>
                <w:rStyle w:val="IndexLink"/>
              </w:rPr>
              <w:t>Obbligatori (Must have)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393_3431189521">
            <w:r>
              <w:rPr>
                <w:rStyle w:val="IndexLink"/>
              </w:rPr>
              <w:t>Consigliati (Should have)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395_3431189521">
            <w:r>
              <w:rPr>
                <w:rStyle w:val="IndexLink"/>
              </w:rPr>
              <w:t>Possibili (Could have)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397_3431189521">
            <w:r>
              <w:rPr>
                <w:rStyle w:val="IndexLink"/>
              </w:rPr>
              <w:t>Voluti (Want have)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399_3431189521">
            <w:r>
              <w:rPr>
                <w:rStyle w:val="IndexLink"/>
              </w:rPr>
              <w:t>Requisiti Non Funzionali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401_3431189521">
            <w:r>
              <w:rPr>
                <w:rStyle w:val="IndexLink"/>
              </w:rPr>
              <w:t>Use case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403_3431189521">
            <w:r>
              <w:rPr>
                <w:rStyle w:val="IndexLink"/>
              </w:rPr>
              <w:t>Genera Prospetti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405_3431189521">
            <w:r>
              <w:rPr>
                <w:rStyle w:val="IndexLink"/>
              </w:rPr>
              <w:t>Visualizza Prospetti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407_3431189521">
            <w:r>
              <w:rPr>
                <w:rStyle w:val="IndexLink"/>
              </w:rPr>
              <w:t>Invia Prospetti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409_3431189521">
            <w:r>
              <w:rPr>
                <w:rStyle w:val="IndexLink"/>
              </w:rPr>
              <w:t>Matrice di tracciabilità</w:t>
              <w:tab/>
              <w:t>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411_3431189521">
            <w:r>
              <w:rPr>
                <w:rStyle w:val="IndexLink"/>
              </w:rPr>
              <w:t>Diagramma classe-responsabilità-collaboratore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413_3431189521">
            <w:r>
              <w:rPr>
                <w:rStyle w:val="IndexLink"/>
              </w:rPr>
              <w:t>Diagramma di classe di analisi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415_3431189521">
            <w:r>
              <w:rPr>
                <w:rStyle w:val="IndexLink"/>
              </w:rPr>
              <w:t>Diagrammi di sequenza di analisi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417_3431189521">
            <w:r>
              <w:rPr>
                <w:rStyle w:val="IndexLink"/>
              </w:rPr>
              <w:t>Genera Prospetti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419_3431189521">
            <w:r>
              <w:rPr>
                <w:rStyle w:val="IndexLink"/>
              </w:rPr>
              <w:t>Visualizza Prospetti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421_3431189521">
            <w:r>
              <w:rPr>
                <w:rStyle w:val="IndexLink"/>
              </w:rPr>
              <w:t>Invia Prospetti</w:t>
              <w:tab/>
              <w:t>16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423_3431189521">
            <w:r>
              <w:rPr>
                <w:rStyle w:val="IndexLink"/>
              </w:rPr>
              <w:t>Diagramma di classe di progetto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425_3431189521">
            <w:r>
              <w:rPr>
                <w:rStyle w:val="IndexLink"/>
              </w:rPr>
              <w:t>Diagrammi di sequenza di progetto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427_3431189521">
            <w:r>
              <w:rPr>
                <w:rStyle w:val="IndexLink"/>
              </w:rPr>
              <w:t>Genera Prospetti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429_3431189521">
            <w:r>
              <w:rPr>
                <w:rStyle w:val="IndexLink"/>
              </w:rPr>
              <w:t>Visualizza Prospetti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431_3431189521">
            <w:r>
              <w:rPr>
                <w:rStyle w:val="IndexLink"/>
              </w:rPr>
              <w:t>Invia Prospetti</w:t>
              <w:tab/>
              <w:t>19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433_3431189521">
            <w:r>
              <w:rPr>
                <w:rStyle w:val="IndexLink"/>
              </w:rPr>
              <w:t>Diagramma di dislocazione</w:t>
              <w:tab/>
              <w:t>20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435_3431189521">
            <w:r>
              <w:rPr>
                <w:rStyle w:val="IndexLink"/>
              </w:rPr>
              <w:t>Manuale dell’amministratore</w:t>
              <w:tab/>
              <w:t>21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spacing w:before="0" w:after="80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bookmarkStart w:id="0" w:name="__RefHeading___Toc6385_3431189521"/>
      <w:bookmarkEnd w:id="0"/>
      <w:r>
        <w:rPr/>
        <w:t>Premessa</w:t>
      </w:r>
    </w:p>
    <w:p>
      <w:pPr>
        <w:pStyle w:val="Normal"/>
        <w:spacing w:beforeAutospacing="0" w:before="0" w:afterAutospacing="0" w:after="240"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/>
          <w:sz w:val="24"/>
          <w:szCs w:val="24"/>
          <w:lang w:val="it-IT"/>
        </w:rPr>
        <w:t>Il progetto qui presentato è un'evoluzione e un refactoring del sistema "Genera Prospetti di Laurea". L'obiettivo principale del lavoro è stato l'analisi e la risoluzione delle criticità di progettazione e di sviluppo presenti nella versione precedente. Viene infatti ipotizzato che il committente del precedente lavoro sia insoddisfatto e di conseguenza ne richieda una nuova versione.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In fase preliminare è stata condotta un'analisi sistematica che ha evidenziato molte criticità (risolte in questa versione). Elenco di seguito le principali:</w:t>
      </w:r>
    </w:p>
    <w:p>
      <w:pPr>
        <w:pStyle w:val="ListParagraph"/>
        <w:numPr>
          <w:ilvl w:val="0"/>
          <w:numId w:val="6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/>
          <w:b/>
          <w:bCs/>
          <w:sz w:val="24"/>
          <w:szCs w:val="24"/>
          <w:lang w:val="it-IT"/>
        </w:rPr>
        <w:t>Portabilità del Codice:</w:t>
      </w:r>
      <w:r>
        <w:rPr>
          <w:rFonts w:eastAsia="Aptos" w:cs="Aptos"/>
          <w:sz w:val="24"/>
          <w:szCs w:val="24"/>
          <w:lang w:val="it-IT"/>
        </w:rPr>
        <w:t xml:space="preserve"> È stato rimosso l'utilizzo di percorsi assoluti "hardcoded" che legavano il software alla macchina dello sviluppatore originale, sostituendoli con percorsi relativi per garantire il funzionamento su qualsiasi server.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/>
          <w:b/>
          <w:bCs/>
          <w:sz w:val="24"/>
          <w:szCs w:val="24"/>
          <w:lang w:val="it-IT"/>
        </w:rPr>
        <w:t>Gestione eventi:</w:t>
      </w:r>
      <w:r>
        <w:rPr>
          <w:rFonts w:eastAsia="Aptos" w:cs="Aptos"/>
          <w:sz w:val="24"/>
          <w:szCs w:val="24"/>
          <w:lang w:val="it-IT"/>
        </w:rPr>
        <w:t xml:space="preserve"> È stato introdotto l’utilizzo di AJAX per la gestione asincrona degli eventi.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/>
          <w:b/>
          <w:bCs/>
          <w:sz w:val="24"/>
          <w:szCs w:val="24"/>
          <w:lang w:val="it-IT"/>
        </w:rPr>
        <w:t>Logica:</w:t>
      </w:r>
      <w:r>
        <w:rPr>
          <w:rFonts w:eastAsia="Aptos" w:cs="Aptos"/>
          <w:sz w:val="24"/>
          <w:szCs w:val="24"/>
          <w:lang w:val="it-IT"/>
        </w:rPr>
        <w:t xml:space="preserve"> Sono state modificate logica e implementazione di numerose funzioni e classi che precedentemente erano fallaci o mal implementate. Tra queste anche tutte le funzionalità di test.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/>
          <w:b/>
          <w:bCs/>
          <w:sz w:val="24"/>
          <w:szCs w:val="24"/>
          <w:lang w:val="it-IT"/>
        </w:rPr>
        <w:t>Ridondanza inutile:</w:t>
      </w:r>
      <w:r>
        <w:rPr>
          <w:rFonts w:eastAsia="Aptos" w:cs="Aptos"/>
          <w:sz w:val="24"/>
          <w:szCs w:val="24"/>
          <w:lang w:val="it-IT"/>
        </w:rPr>
        <w:t xml:space="preserve"> È stata ridotta la ridondanza nei file di configurazione e di anagrafica.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/>
          <w:b/>
          <w:bCs/>
          <w:sz w:val="24"/>
          <w:szCs w:val="24"/>
          <w:lang w:val="it-IT"/>
        </w:rPr>
        <w:t>Robustezza:</w:t>
      </w:r>
      <w:r>
        <w:rPr>
          <w:rFonts w:eastAsia="Aptos" w:cs="Aptos"/>
          <w:sz w:val="24"/>
          <w:szCs w:val="24"/>
          <w:lang w:val="it-IT"/>
        </w:rPr>
        <w:t xml:space="preserve"> È stata introdotta la validazione rigorosa degli input (matricole, date, corsi di laurea) e una gestione centralizzata degli errori.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/>
          <w:b/>
          <w:bCs/>
          <w:sz w:val="24"/>
          <w:szCs w:val="24"/>
          <w:lang w:val="it-IT"/>
        </w:rPr>
        <w:t>Qualità del Codice:</w:t>
      </w:r>
      <w:r>
        <w:rPr>
          <w:rFonts w:eastAsia="Aptos" w:cs="Aptos"/>
          <w:sz w:val="24"/>
          <w:szCs w:val="24"/>
          <w:lang w:val="it-IT"/>
        </w:rPr>
        <w:t xml:space="preserve"> È stato effettuato un refactoring per rimuovere la ridondanza nei nomi delle classi (es. rimozione del suffisso "2") e migliorare la leggibilità e manutenibilità del software.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/>
          <w:b/>
          <w:bCs/>
          <w:sz w:val="24"/>
          <w:szCs w:val="24"/>
          <w:lang w:val="it-IT"/>
        </w:rPr>
        <w:t>Sicurezza Informatica:</w:t>
      </w:r>
      <w:r>
        <w:rPr>
          <w:rFonts w:eastAsia="Aptos" w:cs="Aptos"/>
          <w:sz w:val="24"/>
          <w:szCs w:val="24"/>
          <w:lang w:val="it-IT"/>
        </w:rPr>
        <w:t xml:space="preserve"> Sono state risolte gravi vulnerabilità,</w:t>
      </w:r>
      <w:r>
        <w:rPr>
          <w:rFonts w:eastAsia="Aptos" w:cs="Aptos"/>
          <w:b w:val="false"/>
          <w:bCs w:val="false"/>
          <w:sz w:val="24"/>
          <w:szCs w:val="24"/>
          <w:lang w:val="it-IT"/>
        </w:rPr>
        <w:t xml:space="preserve"> tra cui SQL Injection, Cross-Site Scripting (XSS) e Path Traversal.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>
          <w:lang w:val="it-IT"/>
        </w:rPr>
      </w:pPr>
      <w:bookmarkStart w:id="1" w:name="__RefHeading___Toc6387_3431189521"/>
      <w:bookmarkEnd w:id="1"/>
      <w:r>
        <w:rPr>
          <w:lang w:val="it-IT"/>
        </w:rPr>
        <w:t>Glossario</w:t>
      </w:r>
    </w:p>
    <w:p>
      <w:pPr>
        <w:pStyle w:val="Normal"/>
        <w:rPr>
          <w:lang w:val="it-IT"/>
        </w:rPr>
      </w:pPr>
      <w:r>
        <w:rPr>
          <w:lang w:val="it-IT"/>
        </w:rPr>
        <w:t>In tutto il progetto i seguenti termini assumono soltanto il seguente significato: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144" w:type="dxa"/>
          <w:left w:w="144" w:type="dxa"/>
          <w:bottom w:w="144" w:type="dxa"/>
          <w:right w:w="144" w:type="dxa"/>
        </w:tblCellMar>
        <w:tblLook w:val="06a0" w:noHBand="1" w:noVBand="1" w:firstColumn="1" w:lastRow="0" w:lastColumn="0" w:firstRow="1"/>
      </w:tblPr>
      <w:tblGrid>
        <w:gridCol w:w="2070"/>
        <w:gridCol w:w="1708"/>
        <w:gridCol w:w="5582"/>
      </w:tblGrid>
      <w:tr>
        <w:trPr>
          <w:trHeight w:val="300" w:hRule="atLeast"/>
        </w:trPr>
        <w:tc>
          <w:tcPr>
            <w:tcW w:w="207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Termine</w:t>
            </w:r>
          </w:p>
        </w:tc>
        <w:tc>
          <w:tcPr>
            <w:tcW w:w="1708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Sinonimo</w:t>
            </w:r>
          </w:p>
        </w:tc>
        <w:tc>
          <w:tcPr>
            <w:tcW w:w="55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Significato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Amministratore</w:t>
            </w:r>
          </w:p>
        </w:tc>
        <w:tc>
          <w:tcPr>
            <w:tcW w:w="1708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Admin</w:t>
            </w:r>
          </w:p>
        </w:tc>
        <w:tc>
          <w:tcPr>
            <w:tcW w:w="55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left"/>
              <w:rPr>
                <w:rFonts w:ascii="Aptos" w:hAnsi="Aptos" w:eastAsia="Aptos" w:cs="Aptos"/>
                <w:sz w:val="24"/>
                <w:szCs w:val="24"/>
                <w:lang w:val="en-US"/>
              </w:rPr>
            </w:pPr>
            <w:r>
              <w:rPr>
                <w:rFonts w:eastAsia="Aptos" w:cs="Aptos"/>
                <w:kern w:val="0"/>
                <w:sz w:val="24"/>
                <w:szCs w:val="24"/>
                <w:lang w:val="en-US" w:eastAsia="ja-JP" w:bidi="ar-SA"/>
              </w:rPr>
              <w:t>Docente universitario o tecnologo che ha l'accesso all'ambiente di configurazione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Appello di Laurea</w:t>
            </w:r>
          </w:p>
        </w:tc>
        <w:tc>
          <w:tcPr>
            <w:tcW w:w="1708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Appello</w:t>
            </w:r>
          </w:p>
        </w:tc>
        <w:tc>
          <w:tcPr>
            <w:tcW w:w="55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left"/>
              <w:rPr>
                <w:rFonts w:ascii="Aptos" w:hAnsi="Aptos" w:eastAsia="Aptos" w:cs="Aptos"/>
                <w:sz w:val="24"/>
                <w:szCs w:val="24"/>
                <w:lang w:val="en-US"/>
              </w:rPr>
            </w:pPr>
            <w:r>
              <w:rPr>
                <w:rFonts w:eastAsia="Aptos" w:cs="Aptos"/>
                <w:kern w:val="0"/>
                <w:sz w:val="24"/>
                <w:szCs w:val="24"/>
                <w:lang w:val="en-US" w:eastAsia="ja-JP" w:bidi="ar-SA"/>
              </w:rPr>
              <w:t>Session di laurea durante la quale si svolgono gli esami finali e le discussioni di tesi. Un appello può coinvolgere molteplici laureandi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Carriera Laureando</w:t>
            </w:r>
          </w:p>
        </w:tc>
        <w:tc>
          <w:tcPr>
            <w:tcW w:w="1708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55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left"/>
              <w:rPr>
                <w:rFonts w:ascii="Aptos" w:hAnsi="Aptos" w:eastAsia="Aptos" w:cs="Aptos"/>
                <w:sz w:val="24"/>
                <w:szCs w:val="24"/>
                <w:lang w:val="en-US"/>
              </w:rPr>
            </w:pPr>
            <w:r>
              <w:rPr>
                <w:rFonts w:eastAsia="Aptos" w:cs="Aptos"/>
                <w:kern w:val="0"/>
                <w:sz w:val="24"/>
                <w:szCs w:val="24"/>
                <w:lang w:val="en-US" w:eastAsia="ja-JP" w:bidi="ar-SA"/>
              </w:rPr>
              <w:t>Percorso accademico completo di uno studente, includente tutti gli esami sostenuti, i voti ottenuti, i crediti acquisiti e lo storico di iscrizione ai corsi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Carriera Laureando Informatica</w:t>
            </w:r>
          </w:p>
        </w:tc>
        <w:tc>
          <w:tcPr>
            <w:tcW w:w="1708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55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left"/>
              <w:rPr>
                <w:rFonts w:ascii="Aptos" w:hAnsi="Aptos" w:eastAsia="Aptos" w:cs="Aptos"/>
                <w:sz w:val="24"/>
                <w:szCs w:val="24"/>
                <w:lang w:val="en-US"/>
              </w:rPr>
            </w:pPr>
            <w:r>
              <w:rPr>
                <w:rFonts w:eastAsia="Aptos" w:cs="Aptos"/>
                <w:kern w:val="0"/>
                <w:sz w:val="24"/>
                <w:szCs w:val="24"/>
                <w:lang w:val="en-US" w:eastAsia="ja-JP" w:bidi="ar-SA"/>
              </w:rPr>
              <w:t>Carriera contenente anche la data di laurea, la data di immatricolazione e la media degli esami informatici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Commissione di Laurea</w:t>
            </w:r>
          </w:p>
        </w:tc>
        <w:tc>
          <w:tcPr>
            <w:tcW w:w="1708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Commissione</w:t>
            </w:r>
          </w:p>
        </w:tc>
        <w:tc>
          <w:tcPr>
            <w:tcW w:w="55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left"/>
              <w:rPr>
                <w:rFonts w:ascii="Aptos" w:hAnsi="Aptos" w:eastAsia="Aptos" w:cs="Aptos"/>
                <w:sz w:val="24"/>
                <w:szCs w:val="24"/>
                <w:lang w:val="en-US"/>
              </w:rPr>
            </w:pPr>
            <w:r>
              <w:rPr>
                <w:rFonts w:eastAsia="Aptos" w:cs="Aptos"/>
                <w:kern w:val="0"/>
                <w:sz w:val="24"/>
                <w:szCs w:val="24"/>
                <w:lang w:val="en-US" w:eastAsia="ja-JP" w:bidi="ar-SA"/>
              </w:rPr>
              <w:t>Gruppo di docenti incaricati di supervisionare e valutare gli esami finali e le tesi di un gruppo di laureandi in un determinato appello di laurea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Corso di Laurea</w:t>
            </w:r>
          </w:p>
        </w:tc>
        <w:tc>
          <w:tcPr>
            <w:tcW w:w="1708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Cdl</w:t>
            </w:r>
          </w:p>
        </w:tc>
        <w:tc>
          <w:tcPr>
            <w:tcW w:w="55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left"/>
              <w:rPr>
                <w:rFonts w:ascii="Aptos" w:hAnsi="Aptos" w:eastAsia="Aptos" w:cs="Aptos"/>
                <w:sz w:val="24"/>
                <w:szCs w:val="24"/>
                <w:lang w:val="en-US"/>
              </w:rPr>
            </w:pPr>
            <w:r>
              <w:rPr>
                <w:rFonts w:eastAsia="Aptos" w:cs="Aptos"/>
                <w:kern w:val="0"/>
                <w:sz w:val="24"/>
                <w:szCs w:val="24"/>
                <w:lang w:val="en-US" w:eastAsia="ja-JP" w:bidi="ar-SA"/>
              </w:rPr>
              <w:t>Programma di studi universitario che porta al conseguimento di una laurea.. Ogni corso ha criteri specifici di calcolo del voto di laurea e per il conseguimento del titolo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Criterio Voto di Laurea</w:t>
            </w:r>
          </w:p>
        </w:tc>
        <w:tc>
          <w:tcPr>
            <w:tcW w:w="1708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Formula</w:t>
            </w:r>
          </w:p>
        </w:tc>
        <w:tc>
          <w:tcPr>
            <w:tcW w:w="55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left"/>
              <w:rPr>
                <w:rFonts w:ascii="Aptos" w:hAnsi="Aptos" w:eastAsia="Aptos" w:cs="Aptos"/>
                <w:sz w:val="24"/>
                <w:szCs w:val="24"/>
                <w:lang w:val="en-US"/>
              </w:rPr>
            </w:pPr>
            <w:r>
              <w:rPr>
                <w:rFonts w:eastAsia="Aptos" w:cs="Aptos"/>
                <w:kern w:val="0"/>
                <w:sz w:val="24"/>
                <w:szCs w:val="24"/>
                <w:lang w:val="en-US" w:eastAsia="ja-JP" w:bidi="ar-SA"/>
              </w:rPr>
              <w:t>Formula matematica per calcolare il voto di laurea di un laureando in funzione di media, voto tesi e voto commissione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Esame</w:t>
            </w:r>
          </w:p>
        </w:tc>
        <w:tc>
          <w:tcPr>
            <w:tcW w:w="1708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55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left"/>
              <w:rPr>
                <w:rFonts w:ascii="Aptos" w:hAnsi="Aptos" w:eastAsia="Aptos" w:cs="Aptos"/>
                <w:sz w:val="24"/>
                <w:szCs w:val="24"/>
                <w:lang w:val="en-US"/>
              </w:rPr>
            </w:pPr>
            <w:r>
              <w:rPr>
                <w:rFonts w:eastAsia="Aptos" w:cs="Aptos"/>
                <w:kern w:val="0"/>
                <w:sz w:val="24"/>
                <w:szCs w:val="24"/>
                <w:lang w:val="en-US" w:eastAsia="ja-JP" w:bidi="ar-SA"/>
              </w:rPr>
              <w:t>Prova sostenuta da uno studente, con relativi voto e cfu associati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Esame Informatico</w:t>
            </w:r>
          </w:p>
        </w:tc>
        <w:tc>
          <w:tcPr>
            <w:tcW w:w="1708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55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ptos" w:cs="Aptos"/>
                <w:kern w:val="0"/>
                <w:sz w:val="24"/>
                <w:szCs w:val="24"/>
                <w:lang w:val="it-IT" w:eastAsia="ja-JP" w:bidi="ar-SA"/>
              </w:rPr>
              <w:t>Esame appartenente alla lista degli esami informaticiNella facoltà di ingegneria informatica viene considerato per il calcolo dell'apposita media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Gestione CarrieraStudente</w:t>
            </w:r>
          </w:p>
        </w:tc>
        <w:tc>
          <w:tcPr>
            <w:tcW w:w="1708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55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left"/>
              <w:rPr>
                <w:rFonts w:ascii="Aptos" w:hAnsi="Aptos" w:eastAsia="Aptos" w:cs="Aptos"/>
                <w:sz w:val="24"/>
                <w:szCs w:val="24"/>
                <w:lang w:val="en-US"/>
              </w:rPr>
            </w:pPr>
            <w:r>
              <w:rPr>
                <w:rFonts w:eastAsia="Aptos" w:cs="Aptos"/>
                <w:kern w:val="0"/>
                <w:sz w:val="24"/>
                <w:szCs w:val="24"/>
                <w:lang w:val="en-US" w:eastAsia="ja-JP" w:bidi="ar-SA"/>
              </w:rPr>
              <w:t>Sistema esterno da cui il software preleva i dati anagrafici degli studenti e della loro carriera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Laureando</w:t>
            </w:r>
          </w:p>
        </w:tc>
        <w:tc>
          <w:tcPr>
            <w:tcW w:w="1708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55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left"/>
              <w:rPr>
                <w:rFonts w:ascii="Aptos" w:hAnsi="Aptos" w:eastAsia="Aptos" w:cs="Aptos"/>
                <w:sz w:val="24"/>
                <w:szCs w:val="24"/>
                <w:lang w:val="en-US"/>
              </w:rPr>
            </w:pPr>
            <w:r>
              <w:rPr>
                <w:rFonts w:eastAsia="Aptos" w:cs="Aptos"/>
                <w:kern w:val="0"/>
                <w:sz w:val="24"/>
                <w:szCs w:val="24"/>
                <w:lang w:val="en-US" w:eastAsia="ja-JP" w:bidi="ar-SA"/>
              </w:rPr>
              <w:t>Studente universitario che ha maturato i cfu previsti dal corso di laurea e fatto domanda di laurea sul portale studenti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Matricola</w:t>
            </w:r>
          </w:p>
        </w:tc>
        <w:tc>
          <w:tcPr>
            <w:tcW w:w="1708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55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ptos" w:cs="Aptos"/>
                <w:kern w:val="0"/>
                <w:sz w:val="24"/>
                <w:szCs w:val="24"/>
                <w:lang w:val="en-US" w:eastAsia="ja-JP" w:bidi="ar-SA"/>
              </w:rPr>
              <w:t>Numero di identificazione univoco assegnato a ogni studente universitario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Media Esami</w:t>
            </w:r>
          </w:p>
        </w:tc>
        <w:tc>
          <w:tcPr>
            <w:tcW w:w="1708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Media</w:t>
            </w:r>
          </w:p>
        </w:tc>
        <w:tc>
          <w:tcPr>
            <w:tcW w:w="55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ptos" w:cs="Aptos"/>
                <w:kern w:val="0"/>
                <w:sz w:val="24"/>
                <w:szCs w:val="24"/>
                <w:lang w:val="en-US" w:eastAsia="ja-JP" w:bidi="ar-SA"/>
              </w:rPr>
              <w:t>Media dei voti degli Esami sostenuti dal Laureando. Il valore della lode viene deciso dal Corso di Laurea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Prospetto Commissione</w:t>
            </w:r>
          </w:p>
        </w:tc>
        <w:tc>
          <w:tcPr>
            <w:tcW w:w="1708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55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ptos" w:cs="Aptos"/>
                <w:kern w:val="0"/>
                <w:sz w:val="24"/>
                <w:szCs w:val="24"/>
                <w:lang w:val="en-US" w:eastAsia="ja-JP" w:bidi="ar-SA"/>
              </w:rPr>
              <w:t>Documento PDF contenente a lista dei laureandi di appello di laurea e, per ogni laureando, il rispettivo prospetto con la simulazione del voto di Laurea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Prospetto Laureando</w:t>
            </w:r>
          </w:p>
        </w:tc>
        <w:tc>
          <w:tcPr>
            <w:tcW w:w="1708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55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ptos" w:cs="Aptos"/>
                <w:kern w:val="0"/>
                <w:sz w:val="24"/>
                <w:szCs w:val="24"/>
                <w:lang w:val="it-IT" w:eastAsia="ja-JP" w:bidi="ar-SA"/>
              </w:rPr>
              <w:t>Documento PDF contenente i dati del laureando, i dati degli esami superati, la media pesata, il numero di cfu conseguiti e la formula per il calcolo del Voto di Vaurea.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Unità Didattica</w:t>
            </w:r>
          </w:p>
        </w:tc>
        <w:tc>
          <w:tcPr>
            <w:tcW w:w="1708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55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ptos" w:cs="Aptos"/>
                <w:kern w:val="0"/>
                <w:sz w:val="24"/>
                <w:szCs w:val="24"/>
                <w:lang w:val="en-US" w:eastAsia="ja-JP" w:bidi="ar-SA"/>
              </w:rPr>
              <w:t>Unità che accede alla lista dei laureandi che hanno fatto domanda di laurea tramite il portale studenti e invia i prospetti di laurea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>
          <w:lang w:val="en-US"/>
        </w:rPr>
      </w:pPr>
      <w:bookmarkStart w:id="2" w:name="__RefHeading___Toc6389_3431189521"/>
      <w:bookmarkEnd w:id="2"/>
      <w:r>
        <w:rPr>
          <w:lang w:val="en-US"/>
        </w:rPr>
        <w:t>Requisiti Funzionali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/>
          <w:sz w:val="24"/>
          <w:szCs w:val="24"/>
          <w:lang w:val="it-IT"/>
        </w:rPr>
        <w:t>Sono di seguito elencati i requisiti funzionali secondo la classificazione MoSCoW (Must, Should, Could, Want).</w:t>
      </w:r>
    </w:p>
    <w:p>
      <w:pPr>
        <w:pStyle w:val="Heading2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bookmarkStart w:id="3" w:name="__RefHeading___Toc6391_3431189521"/>
      <w:bookmarkEnd w:id="3"/>
      <w:r>
        <w:rPr>
          <w:lang w:val="en-US"/>
        </w:rPr>
        <w:t>Obbligatori (Must have)</w:t>
      </w:r>
    </w:p>
    <w:p>
      <w:pPr>
        <w:pStyle w:val="ListParagraph"/>
        <w:numPr>
          <w:ilvl w:val="0"/>
          <w:numId w:val="5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[M01] Il Sistema deve consentire all'unità didattica di generare un prospetto di laurea con tutti i laureandi per la commissione.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[M02] Il Sistema deve fornire una interfaccia grafica all'unità didattica.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[M03] Il sistema deve prelevare l'anagrafica del laureando dal sistema esterno Gestione CarrieraStudente.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[M04] Il sistema deve consentire di generare il prospetto del singolo laureando sia per la commissione che per il laureando stesso.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[M05] Il sistema deve permettere l'invio dei prospetti via e-mail ai laureandi.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[M06] Il sistema deve consentire la visualizzazione dei prospetti generati.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[M07] Il sistema deve calcolare la media pesata degli esami, distinguendo e calcolando separatamente la media degli esami informatici per i laureandi di Ingegneria Informatica.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[M08] Il sistema deve indicare nel prospetto gli esami informatici tramite una colonna apposita.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[M09] Il sistema deve calcolare il bonus per i laureandi in corso.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[M10] Il sistema deve produrre i prospetti in formato PDF.</w:t>
      </w:r>
    </w:p>
    <w:p>
      <w:pPr>
        <w:pStyle w:val="Heading2"/>
        <w:rPr/>
      </w:pPr>
      <w:bookmarkStart w:id="4" w:name="__RefHeading___Toc6393_3431189521"/>
      <w:bookmarkEnd w:id="4"/>
      <w:r>
        <w:rPr>
          <w:lang w:val="en-US"/>
        </w:rPr>
        <w:t>Consigliati (Should have)</w:t>
      </w:r>
    </w:p>
    <w:p>
      <w:pPr>
        <w:pStyle w:val="ListParagraph"/>
        <w:numPr>
          <w:ilvl w:val="0"/>
          <w:numId w:val="4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[S01] Il Sistema dovrebbe consentire all'amministratore di configurare il valore della lode.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[S02] Il Sistema dovrebbe consentire la cancellazione dei dati relativi all'appello di laurea.</w:t>
      </w:r>
    </w:p>
    <w:p>
      <w:pPr>
        <w:pStyle w:val="Heading2"/>
        <w:rPr/>
      </w:pPr>
      <w:bookmarkStart w:id="5" w:name="__RefHeading___Toc6395_3431189521"/>
      <w:bookmarkEnd w:id="5"/>
      <w:r>
        <w:rPr>
          <w:lang w:val="en-US"/>
        </w:rPr>
        <w:t>Possibili (Could have)</w:t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[C01] Il sistema potrebbe generare un alert se i crediti conseguiti non corrispondono a quelli necessari.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[C02] Il Sistema potrebbe fornire interfaccia grafica per accedere ai file di configurazione.</w:t>
      </w:r>
    </w:p>
    <w:p>
      <w:pPr>
        <w:pStyle w:val="Heading2"/>
        <w:rPr/>
      </w:pPr>
      <w:bookmarkStart w:id="6" w:name="__RefHeading___Toc6397_3431189521"/>
      <w:bookmarkEnd w:id="6"/>
      <w:r>
        <w:rPr>
          <w:lang w:val="en-US"/>
        </w:rPr>
        <w:t>Voluti (Want have)</w:t>
      </w:r>
    </w:p>
    <w:p>
      <w:pPr>
        <w:pStyle w:val="ListParagraph"/>
        <w:numPr>
          <w:ilvl w:val="0"/>
          <w:numId w:val="2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[W01] Il Sistema vorrebbe consentire all'unità didattica di ricevere conferma e-mail dell'invio.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[W02] Il Sistema vorrebbe generare statistiche sull'appello di laurea.</w:t>
      </w:r>
    </w:p>
    <w:p>
      <w:pPr>
        <w:pStyle w:val="Heading1"/>
        <w:rPr>
          <w:rFonts w:ascii="Aptos" w:hAnsi="Aptos" w:eastAsia="Aptos" w:cs="Aptos"/>
          <w:sz w:val="24"/>
          <w:szCs w:val="24"/>
          <w:lang w:val="en-US"/>
        </w:rPr>
      </w:pPr>
      <w:bookmarkStart w:id="7" w:name="__RefHeading___Toc6399_3431189521"/>
      <w:bookmarkEnd w:id="7"/>
      <w:r>
        <w:rPr>
          <w:lang w:val="en-US"/>
        </w:rPr>
        <w:t>Requisiti Non Funzionali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Sono di seguito elencati i requisiti non funzionali del progetto:</w:t>
      </w:r>
    </w:p>
    <w:p>
      <w:pPr>
        <w:pStyle w:val="ListParagraph"/>
        <w:numPr>
          <w:ilvl w:val="0"/>
          <w:numId w:val="1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Il sistema non deve mantenere dati personali, ma solo relativi alla carriera.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Il sistema deve essere programmato in PHP.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 xml:space="preserve">Il sistema deve interfacciarsi con il software esterno </w:t>
      </w:r>
      <w:r>
        <w:rPr>
          <w:rFonts w:eastAsia="Aptos" w:cs="Aptos"/>
          <w:i/>
          <w:iCs/>
          <w:sz w:val="24"/>
          <w:szCs w:val="24"/>
          <w:lang w:val="en-US"/>
        </w:rPr>
        <w:t>gestioneCarrieraStudente</w:t>
      </w:r>
      <w:r>
        <w:rPr>
          <w:rFonts w:eastAsia="Aptos" w:cs="Aptos"/>
          <w:sz w:val="24"/>
          <w:szCs w:val="24"/>
          <w:lang w:val="en-US"/>
        </w:rPr>
        <w:t xml:space="preserve"> ricevendo dati in JSON.</w:t>
      </w:r>
    </w:p>
    <w:p>
      <w:pPr>
        <w:pStyle w:val="ListParagraph"/>
        <w:numPr>
          <w:ilvl w:val="0"/>
          <w:numId w:val="1"/>
        </w:numPr>
        <w:suppressLineNumbers w:val="0"/>
        <w:bidi w:val="0"/>
        <w:spacing w:lineRule="auto" w:line="278" w:beforeAutospacing="0" w:before="0" w:afterAutospacing="0" w:after="240"/>
        <w:ind w:hanging="360" w:left="720" w:right="0"/>
        <w:contextualSpacing/>
        <w:jc w:val="left"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/>
          <w:sz w:val="24"/>
          <w:szCs w:val="24"/>
          <w:lang w:val="it-IT"/>
        </w:rPr>
        <w:t>Il codice deve rispettare le specifiche di stile Php-Pear.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bidi w:val="0"/>
        <w:spacing w:before="0" w:after="80"/>
        <w:rPr>
          <w:lang w:val="it-IT"/>
        </w:rPr>
      </w:pPr>
      <w:bookmarkStart w:id="8" w:name="__RefHeading___Toc6401_3431189521"/>
      <w:bookmarkEnd w:id="8"/>
      <w:r>
        <w:rPr>
          <w:lang w:val="it-IT"/>
        </w:rPr>
        <w:t>Use case</w:t>
      </w:r>
    </w:p>
    <w:p>
      <w:pPr>
        <w:pStyle w:val="Normal"/>
        <w:bidi w:val="0"/>
        <w:rPr>
          <w:lang w:val="it-IT"/>
        </w:rPr>
      </w:pPr>
      <w:r>
        <w:rPr>
          <w:lang w:val="it-IT"/>
        </w:rPr>
        <w:t>Nel sistema l’unico attore presente è l’Unita Didattica. Sono presenti tre use case principali:</w:t>
      </w:r>
    </w:p>
    <w:p>
      <w:pPr>
        <w:pStyle w:val="Normal"/>
        <w:bidi w:val="0"/>
        <w:rPr>
          <w:lang w:val="it-IT"/>
        </w:rPr>
      </w:pPr>
      <w:r>
        <w:rPr>
          <w:lang w:val="it-IT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29175" cy="378142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96DAC541-7B7A-43D3-8B79-37D633B846F1}">
                          <asvg:svgBlip xmlns:asvg="http://schemas.microsoft.com/office/drawing/2016/SVG/main" r:embed="rId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781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</w:p>
    <w:p>
      <w:pPr>
        <w:pStyle w:val="Heading2"/>
        <w:rPr/>
      </w:pPr>
      <w:bookmarkStart w:id="9" w:name="__RefHeading___Toc6403_3431189521"/>
      <w:bookmarkEnd w:id="9"/>
      <w:r>
        <w:rPr/>
        <w:t>Genera Prospetti</w:t>
      </w:r>
    </w:p>
    <w:tbl>
      <w:tblPr>
        <w:tblW w:w="5000" w:type="pct"/>
        <w:jc w:val="left"/>
        <w:tblInd w:w="-5" w:type="dxa"/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4679"/>
        <w:gridCol w:w="4680"/>
      </w:tblGrid>
      <w:tr>
        <w:trPr/>
        <w:tc>
          <w:tcPr>
            <w:tcW w:w="9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i w:val="false"/>
                <w:i w:val="false"/>
                <w:iCs w:val="false"/>
              </w:rPr>
            </w:pPr>
            <w:r>
              <w:rPr>
                <w:b/>
                <w:bCs/>
                <w:i w:val="false"/>
                <w:iCs w:val="false"/>
              </w:rPr>
              <w:t>ID 1</w:t>
            </w:r>
          </w:p>
        </w:tc>
      </w:tr>
      <w:tr>
        <w:trPr/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rPr>
                <w:rFonts w:ascii="Aptos;serif" w:hAnsi="Aptos;serif"/>
                <w:sz w:val="22"/>
              </w:rPr>
            </w:pPr>
            <w:r>
              <w:rPr>
                <w:rFonts w:ascii="Aptos;serif" w:hAnsi="Aptos;serif"/>
                <w:sz w:val="22"/>
              </w:rPr>
              <w:t>L’unità didattica, note le matricole dei laureandi, genera i prospetti dei laureandi e il prospetto per la commissione di laurea</w:t>
            </w:r>
          </w:p>
        </w:tc>
      </w:tr>
      <w:tr>
        <w:trPr/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Attore primario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Unità didattica</w:t>
            </w:r>
          </w:p>
        </w:tc>
      </w:tr>
      <w:tr>
        <w:trPr/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Attore secondario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Unità didattica ha ricevuto le matricole dei laureandi di cui generare i prospetti di laurea</w:t>
            </w:r>
          </w:p>
        </w:tc>
      </w:tr>
      <w:tr>
        <w:trPr/>
        <w:tc>
          <w:tcPr>
            <w:tcW w:w="935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Flow principale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848284"/>
              </w:rPr>
              <w:t>1.</w:t>
            </w:r>
            <w:r>
              <w:rPr/>
              <w:t> </w:t>
            </w:r>
            <w:r>
              <w:rPr>
                <w:color w:val="0000FF"/>
                <w:u w:val="single"/>
              </w:rPr>
              <w:t>UnitaDidattica</w:t>
            </w:r>
            <w:r>
              <w:rPr/>
              <w:t xml:space="preserve"> seleziona il </w:t>
            </w:r>
            <w:r>
              <w:rPr>
                <w:b/>
              </w:rPr>
              <w:t>CdL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848284"/>
              </w:rPr>
              <w:t>2.</w:t>
            </w:r>
            <w:r>
              <w:rPr/>
              <w:t> </w:t>
            </w:r>
            <w:r>
              <w:rPr>
                <w:color w:val="CA6400"/>
              </w:rPr>
              <w:t>SYSTEM</w:t>
            </w:r>
            <w:r>
              <w:rPr/>
              <w:t xml:space="preserve"> mostra il </w:t>
            </w:r>
            <w:r>
              <w:rPr>
                <w:b/>
              </w:rPr>
              <w:t>CdL selezionato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848284"/>
              </w:rPr>
              <w:t>3.</w:t>
            </w:r>
            <w:r>
              <w:rPr/>
              <w:t> </w:t>
            </w:r>
            <w:r>
              <w:rPr>
                <w:color w:val="0000FF"/>
                <w:u w:val="single"/>
              </w:rPr>
              <w:t>UnitaDidattica</w:t>
            </w:r>
            <w:r>
              <w:rPr/>
              <w:t xml:space="preserve"> seleziona la </w:t>
            </w:r>
            <w:r>
              <w:rPr>
                <w:b/>
              </w:rPr>
              <w:t>Data Laurea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848284"/>
              </w:rPr>
              <w:t>4.</w:t>
            </w:r>
            <w:r>
              <w:rPr/>
              <w:t> </w:t>
            </w:r>
            <w:r>
              <w:rPr>
                <w:color w:val="CA6400"/>
              </w:rPr>
              <w:t>SYSTEM</w:t>
            </w:r>
            <w:r>
              <w:rPr/>
              <w:t xml:space="preserve"> mostra la </w:t>
            </w:r>
            <w:r>
              <w:rPr>
                <w:b/>
              </w:rPr>
              <w:t>Data Laurea selezionata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848284"/>
              </w:rPr>
              <w:t>5.</w:t>
            </w:r>
            <w:r>
              <w:rPr/>
              <w:t> </w:t>
            </w:r>
            <w:r>
              <w:rPr>
                <w:color w:val="0000FF"/>
                <w:u w:val="single"/>
              </w:rPr>
              <w:t>UnitaDidattica</w:t>
            </w:r>
            <w:r>
              <w:rPr/>
              <w:t xml:space="preserve"> inserisce la sequenza di </w:t>
            </w:r>
            <w:r>
              <w:rPr>
                <w:b/>
              </w:rPr>
              <w:t>matricole</w:t>
            </w:r>
            <w:r>
              <w:rPr/>
              <w:t xml:space="preserve"> dei laureandi separate da caratteri bianchi </w:t>
            </w:r>
            <w:r>
              <w:rPr>
                <w:color w:val="848284"/>
              </w:rPr>
              <w:t>6.</w:t>
            </w:r>
            <w:r>
              <w:rPr/>
              <w:t> </w:t>
            </w:r>
            <w:r>
              <w:rPr>
                <w:color w:val="CA6400"/>
              </w:rPr>
              <w:t>SYSTEM</w:t>
            </w:r>
            <w:r>
              <w:rPr/>
              <w:t xml:space="preserve"> mostra la sequenza </w:t>
            </w:r>
            <w:r>
              <w:rPr>
                <w:b/>
              </w:rPr>
              <w:t>matricole inserite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848284"/>
              </w:rPr>
              <w:t>7.</w:t>
            </w:r>
            <w:r>
              <w:rPr/>
              <w:t> </w:t>
            </w:r>
            <w:r>
              <w:rPr>
                <w:color w:val="0000FF"/>
                <w:u w:val="single"/>
              </w:rPr>
              <w:t>UnitaDidattica</w:t>
            </w:r>
            <w:r>
              <w:rPr/>
              <w:t xml:space="preserve"> clicca sul pulsante </w:t>
            </w:r>
            <w:r>
              <w:rPr>
                <w:b/>
              </w:rPr>
              <w:t>Crea Prospetti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848284"/>
              </w:rPr>
              <w:t>8.</w:t>
            </w:r>
            <w:r>
              <w:rPr/>
              <w:t> </w:t>
            </w:r>
            <w:r>
              <w:rPr>
                <w:color w:val="00B200"/>
              </w:rPr>
              <w:t>for each</w:t>
            </w:r>
            <w:r>
              <w:rPr/>
              <w:t> laureando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848284"/>
              </w:rPr>
              <w:t>8.1.</w:t>
            </w:r>
            <w:r>
              <w:rPr/>
              <w:t> </w:t>
            </w:r>
            <w:r>
              <w:rPr>
                <w:color w:val="CA6400"/>
              </w:rPr>
              <w:t>SYSTEM</w:t>
            </w:r>
            <w:r>
              <w:rPr/>
              <w:t> Genera il prospetto di laurea personale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00B200"/>
              </w:rPr>
              <w:t>end for each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848284"/>
              </w:rPr>
              <w:t>9.</w:t>
            </w:r>
            <w:r>
              <w:rPr/>
              <w:t> </w:t>
            </w:r>
            <w:r>
              <w:rPr>
                <w:color w:val="CA6400"/>
              </w:rPr>
              <w:t>SYSTEM</w:t>
            </w:r>
            <w:r>
              <w:rPr/>
              <w:t> Genera il prospetto di laurea della commissione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848284"/>
              </w:rPr>
              <w:t>10.</w:t>
            </w:r>
            <w:r>
              <w:rPr/>
              <w:t> </w:t>
            </w:r>
            <w:r>
              <w:rPr>
                <w:color w:val="CA6400"/>
              </w:rPr>
              <w:t>SYSTEM</w:t>
            </w:r>
            <w:r>
              <w:rPr/>
              <w:t xml:space="preserve"> Mostra un messaggio di </w:t>
            </w:r>
            <w:r>
              <w:rPr>
                <w:b/>
              </w:rPr>
              <w:t>conferma</w:t>
            </w:r>
          </w:p>
        </w:tc>
      </w:tr>
      <w:tr>
        <w:trPr/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Postconditions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Il sistema ha generato tutti i prospetti come file pdf nella cartella predisposta</w:t>
            </w:r>
          </w:p>
        </w:tc>
      </w:tr>
      <w:tr>
        <w:trPr/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Flow alternativo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bookmarkStart w:id="10" w:name="__RefHeading___Toc6405_3431189521"/>
      <w:bookmarkEnd w:id="10"/>
      <w:r>
        <w:rPr/>
        <w:t>Visualizza Prospetti</w:t>
      </w:r>
    </w:p>
    <w:tbl>
      <w:tblPr>
        <w:tblW w:w="5000" w:type="pct"/>
        <w:jc w:val="left"/>
        <w:tblInd w:w="-5" w:type="dxa"/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4679"/>
        <w:gridCol w:w="4680"/>
      </w:tblGrid>
      <w:tr>
        <w:trPr/>
        <w:tc>
          <w:tcPr>
            <w:tcW w:w="9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i w:val="false"/>
                <w:i w:val="false"/>
                <w:iCs w:val="false"/>
              </w:rPr>
            </w:pPr>
            <w:r>
              <w:rPr>
                <w:b/>
                <w:bCs/>
                <w:i w:val="false"/>
                <w:iCs w:val="false"/>
              </w:rPr>
              <w:t>ID 2</w:t>
            </w:r>
          </w:p>
        </w:tc>
      </w:tr>
      <w:tr>
        <w:trPr/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140"/>
              <w:ind w:hanging="0" w:left="0" w:right="0"/>
              <w:rPr>
                <w:rFonts w:ascii="Aptos;serif" w:hAnsi="Aptos;serif"/>
                <w:sz w:val="22"/>
              </w:rPr>
            </w:pPr>
            <w:r>
              <w:rPr>
                <w:rFonts w:ascii="Aptos;serif" w:hAnsi="Aptos;serif"/>
                <w:sz w:val="22"/>
              </w:rPr>
              <w:t>L'unità didattica visualizza i prospetti appena generati in formato PDF</w:t>
            </w:r>
          </w:p>
        </w:tc>
      </w:tr>
      <w:tr>
        <w:trPr/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Attore primario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Unità didattica</w:t>
            </w:r>
          </w:p>
        </w:tc>
      </w:tr>
      <w:tr>
        <w:trPr/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Attore secondario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Corretta esecuzione di Genera Prospetti</w:t>
            </w:r>
          </w:p>
        </w:tc>
      </w:tr>
      <w:tr>
        <w:trPr/>
        <w:tc>
          <w:tcPr>
            <w:tcW w:w="935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  <w:bCs/>
              </w:rPr>
              <w:t>Flow principale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848284"/>
              </w:rPr>
              <w:t>1.</w:t>
            </w:r>
            <w:r>
              <w:rPr/>
              <w:t> </w:t>
            </w:r>
            <w:r>
              <w:rPr>
                <w:color w:val="0000FF"/>
                <w:u w:val="single"/>
              </w:rPr>
              <w:t>UnitaDidattica</w:t>
            </w:r>
            <w:r>
              <w:rPr/>
              <w:t xml:space="preserve"> clicca il pulsante </w:t>
            </w:r>
            <w:r>
              <w:rPr>
                <w:b/>
              </w:rPr>
              <w:t>Visualizza Prospetti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848284"/>
              </w:rPr>
              <w:t>2.</w:t>
            </w:r>
            <w:r>
              <w:rPr/>
              <w:t> </w:t>
            </w:r>
            <w:r>
              <w:rPr>
                <w:color w:val="CA6400"/>
              </w:rPr>
              <w:t>SYSTEM</w:t>
            </w:r>
            <w:r>
              <w:rPr/>
              <w:t xml:space="preserve"> fornisce la visualizzazione del </w:t>
            </w:r>
            <w:r>
              <w:rPr>
                <w:b/>
              </w:rPr>
              <w:t>prospetto della commissione</w:t>
            </w:r>
          </w:p>
        </w:tc>
      </w:tr>
      <w:tr>
        <w:trPr/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Postconditions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I prospetti generati sono visualizzabili dall'unità didattica</w:t>
            </w:r>
          </w:p>
        </w:tc>
      </w:tr>
      <w:tr>
        <w:trPr/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Flow alternativo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bookmarkStart w:id="11" w:name="__RefHeading___Toc6407_3431189521"/>
      <w:bookmarkEnd w:id="11"/>
      <w:r>
        <w:rPr/>
        <w:t>Invia Prospetti</w:t>
      </w:r>
    </w:p>
    <w:tbl>
      <w:tblPr>
        <w:tblW w:w="5000" w:type="pct"/>
        <w:jc w:val="left"/>
        <w:tblInd w:w="-5" w:type="dxa"/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4679"/>
        <w:gridCol w:w="4680"/>
      </w:tblGrid>
      <w:tr>
        <w:trPr/>
        <w:tc>
          <w:tcPr>
            <w:tcW w:w="9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i w:val="false"/>
                <w:i w:val="false"/>
                <w:iCs w:val="false"/>
              </w:rPr>
            </w:pPr>
            <w:r>
              <w:rPr>
                <w:b/>
                <w:bCs/>
                <w:i w:val="false"/>
                <w:iCs w:val="false"/>
              </w:rPr>
              <w:t>ID 3</w:t>
            </w:r>
          </w:p>
        </w:tc>
      </w:tr>
      <w:tr>
        <w:trPr/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140"/>
              <w:ind w:hanging="0" w:left="0" w:right="0"/>
              <w:rPr>
                <w:rFonts w:ascii="Aptos;serif" w:hAnsi="Aptos;serif"/>
                <w:sz w:val="22"/>
              </w:rPr>
            </w:pPr>
            <w:r>
              <w:rPr>
                <w:rFonts w:ascii="Aptos;serif" w:hAnsi="Aptos;serif"/>
                <w:sz w:val="22"/>
              </w:rPr>
              <w:t>L'unità didattica invia a tutti I laureandi il prospetto appena generato</w:t>
            </w:r>
          </w:p>
        </w:tc>
      </w:tr>
      <w:tr>
        <w:trPr/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Attore primario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Unità didattica</w:t>
            </w:r>
          </w:p>
        </w:tc>
      </w:tr>
      <w:tr>
        <w:trPr/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Attore secondario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Corretta esecuzione di Genera Prospetti</w:t>
            </w:r>
          </w:p>
        </w:tc>
      </w:tr>
      <w:tr>
        <w:trPr/>
        <w:tc>
          <w:tcPr>
            <w:tcW w:w="935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  <w:bCs/>
              </w:rPr>
              <w:t>Flow principale</w:t>
            </w:r>
          </w:p>
          <w:p>
            <w:pPr>
              <w:pStyle w:val="BodyText"/>
              <w:widowControl w:val="false"/>
              <w:spacing w:lineRule="auto" w:line="278" w:before="0" w:after="160"/>
              <w:rPr>
                <w:b/>
              </w:rPr>
            </w:pPr>
            <w:r>
              <w:rPr>
                <w:b/>
                <w:color w:val="848284"/>
              </w:rPr>
              <w:t>1.</w:t>
            </w:r>
            <w:r>
              <w:rPr>
                <w:b/>
              </w:rPr>
              <w:t> </w:t>
            </w:r>
            <w:r>
              <w:rPr>
                <w:b/>
                <w:color w:val="0000FF"/>
                <w:u w:val="single"/>
              </w:rPr>
              <w:t>UnitaDidattica</w:t>
            </w:r>
            <w:r>
              <w:rPr>
                <w:b/>
              </w:rPr>
              <w:t xml:space="preserve"> clicca sul pulsante Invia Prospetti</w:t>
            </w:r>
          </w:p>
          <w:p>
            <w:pPr>
              <w:pStyle w:val="BodyText"/>
              <w:widowControl w:val="false"/>
              <w:spacing w:lineRule="auto" w:line="278" w:before="0" w:after="160"/>
              <w:rPr>
                <w:b/>
              </w:rPr>
            </w:pPr>
            <w:r>
              <w:rPr>
                <w:b/>
                <w:color w:val="848284"/>
              </w:rPr>
              <w:t>2.</w:t>
            </w:r>
            <w:r>
              <w:rPr>
                <w:b/>
              </w:rPr>
              <w:t> </w:t>
            </w:r>
            <w:r>
              <w:rPr>
                <w:b/>
                <w:color w:val="00B200"/>
              </w:rPr>
              <w:t>for each</w:t>
            </w:r>
            <w:r>
              <w:rPr>
                <w:b/>
              </w:rPr>
              <w:t> laureando</w:t>
            </w:r>
          </w:p>
          <w:p>
            <w:pPr>
              <w:pStyle w:val="BodyText"/>
              <w:widowControl w:val="false"/>
              <w:spacing w:lineRule="auto" w:line="278" w:before="0" w:after="160"/>
              <w:rPr>
                <w:b/>
              </w:rPr>
            </w:pPr>
            <w:r>
              <w:rPr>
                <w:b/>
                <w:color w:val="848284"/>
              </w:rPr>
              <w:t>2.1.</w:t>
            </w:r>
            <w:r>
              <w:rPr>
                <w:b/>
              </w:rPr>
              <w:t> </w:t>
            </w:r>
            <w:r>
              <w:rPr>
                <w:b/>
                <w:color w:val="CA6400"/>
              </w:rPr>
              <w:t>SYSTEM</w:t>
            </w:r>
            <w:r>
              <w:rPr>
                <w:b/>
              </w:rPr>
              <w:t> invia e-mail al laureando con il prospetto di laurea come allegato</w:t>
            </w:r>
          </w:p>
          <w:p>
            <w:pPr>
              <w:pStyle w:val="BodyText"/>
              <w:widowControl w:val="false"/>
              <w:spacing w:lineRule="auto" w:line="278" w:before="0" w:after="160"/>
              <w:rPr>
                <w:b/>
              </w:rPr>
            </w:pPr>
            <w:r>
              <w:rPr>
                <w:b/>
                <w:color w:val="00B200"/>
              </w:rPr>
              <w:t>end for each</w:t>
            </w:r>
          </w:p>
          <w:p>
            <w:pPr>
              <w:pStyle w:val="BodyText"/>
              <w:widowControl w:val="false"/>
              <w:spacing w:lineRule="auto" w:line="278" w:before="0" w:after="160"/>
              <w:rPr>
                <w:b/>
              </w:rPr>
            </w:pPr>
            <w:r>
              <w:rPr>
                <w:b/>
                <w:color w:val="848284"/>
              </w:rPr>
              <w:t>3.</w:t>
            </w:r>
            <w:r>
              <w:rPr>
                <w:b/>
              </w:rPr>
              <w:t> </w:t>
            </w:r>
            <w:r>
              <w:rPr>
                <w:b/>
                <w:color w:val="CA6400"/>
              </w:rPr>
              <w:t>SYSTEM</w:t>
            </w:r>
            <w:r>
              <w:rPr>
                <w:b/>
              </w:rPr>
              <w:t> Mostra un messaggio di conferma</w:t>
            </w:r>
          </w:p>
        </w:tc>
      </w:tr>
      <w:tr>
        <w:trPr/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Postconditions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I prospetti di laurea sono stati inviati via mail a tutti i laureandi</w:t>
            </w:r>
          </w:p>
        </w:tc>
      </w:tr>
      <w:tr>
        <w:trPr/>
        <w:tc>
          <w:tcPr>
            <w:tcW w:w="46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Flow alternativo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bookmarkStart w:id="12" w:name="__RefHeading___Toc6409_3431189521"/>
      <w:bookmarkEnd w:id="12"/>
      <w:r>
        <w:rPr/>
        <w:t>Matrice di tracciabilità</w:t>
      </w:r>
    </w:p>
    <w:p>
      <w:pPr>
        <w:pStyle w:val="Normal"/>
        <w:rPr/>
      </w:pPr>
      <w:r>
        <w:rPr/>
        <w:t>La seguente matrice traccia i requisiti funzionali obbligatori mettendoli in relazione con gli use casi che li assolvono.</w:t>
      </w:r>
    </w:p>
    <w:tbl>
      <w:tblPr>
        <w:tblW w:w="5000" w:type="pct"/>
        <w:jc w:val="left"/>
        <w:tblInd w:w="-5" w:type="dxa"/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339"/>
        <w:gridCol w:w="2340"/>
        <w:gridCol w:w="2340"/>
        <w:gridCol w:w="2340"/>
      </w:tblGrid>
      <w:tr>
        <w:trPr/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Requisito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Genera Prospetti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Visualizza Prospetti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Invia Prospetti</w:t>
            </w:r>
          </w:p>
        </w:tc>
      </w:tr>
      <w:tr>
        <w:trPr/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M01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X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M02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X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X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X</w:t>
            </w:r>
          </w:p>
        </w:tc>
      </w:tr>
      <w:tr>
        <w:trPr/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M03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X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M04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X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M05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X</w:t>
            </w:r>
          </w:p>
        </w:tc>
      </w:tr>
      <w:tr>
        <w:trPr/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M06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X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M07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X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M08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X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M09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X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M10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X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</w:tbl>
    <w:p>
      <w:pPr>
        <w:pStyle w:val="ListParagraph"/>
        <w:spacing w:beforeAutospacing="0" w:before="240" w:afterAutospacing="0" w:after="0"/>
        <w:ind w:hanging="0" w:left="0"/>
        <w:contextualSpacing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bookmarkStart w:id="13" w:name="__RefHeading___Toc6411_3431189521"/>
      <w:bookmarkEnd w:id="13"/>
      <w:r>
        <w:rPr/>
        <w:t>Diagramma classe-responsabilità-collaboratore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54279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2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bookmarkStart w:id="14" w:name="__RefHeading___Toc6413_3431189521"/>
      <w:bookmarkEnd w:id="14"/>
      <w:r>
        <w:rPr/>
        <w:t>Diagramma di classe di analisi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45389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bookmarkStart w:id="15" w:name="__RefHeading___Toc6415_3431189521"/>
      <w:bookmarkEnd w:id="15"/>
      <w:r>
        <w:rPr/>
        <w:t>Diagrammi di sequenza di analisi</w:t>
      </w:r>
    </w:p>
    <w:p>
      <w:pPr>
        <w:pStyle w:val="Heading2"/>
        <w:rPr/>
      </w:pPr>
      <w:bookmarkStart w:id="16" w:name="__RefHeading___Toc6417_3431189521"/>
      <w:bookmarkEnd w:id="16"/>
      <w:r>
        <w:rPr/>
        <w:t>Genera Prospetti</w:t>
      </w:r>
    </w:p>
    <w:p>
      <w:pPr>
        <w:pStyle w:val="Heading2"/>
        <w:rPr/>
      </w:pPr>
      <w:bookmarkStart w:id="17" w:name="__RefHeading___Toc6419_3431189521"/>
      <w:bookmarkEnd w:id="17"/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87071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Visualizza Prospetti</w:t>
      </w:r>
    </w:p>
    <w:p>
      <w:pPr>
        <w:pStyle w:val="Heading2"/>
        <w:rPr/>
      </w:pPr>
      <w:bookmarkStart w:id="18" w:name="__RefHeading___Toc6421_3431189521"/>
      <w:bookmarkEnd w:id="18"/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84404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Invia Prospetti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184400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rPr/>
      </w:pPr>
      <w:bookmarkStart w:id="19" w:name="__RefHeading___Toc6423_3431189521"/>
      <w:bookmarkEnd w:id="19"/>
      <w:r>
        <w:rPr/>
        <w:t>Diagramma di classe di progetto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00596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rPr/>
      </w:pPr>
      <w:bookmarkStart w:id="20" w:name="__RefHeading___Toc6425_3431189521"/>
      <w:bookmarkEnd w:id="20"/>
      <w:r>
        <w:rPr/>
        <w:t>Diagrammi di sequenza di progetto</w:t>
      </w:r>
    </w:p>
    <w:p>
      <w:pPr>
        <w:pStyle w:val="Heading2"/>
        <w:rPr/>
      </w:pPr>
      <w:bookmarkStart w:id="21" w:name="__RefHeading___Toc6427_3431189521"/>
      <w:bookmarkEnd w:id="21"/>
      <w:r>
        <w:rPr/>
        <w:t>Genera Prospetti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562350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22" w:name="__RefHeading___Toc6429_3431189521"/>
      <w:bookmarkEnd w:id="22"/>
      <w:r>
        <w:rPr/>
        <w:t>Visualizza Prospetti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922780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23" w:name="__RefHeading___Toc6431_3431189521"/>
      <w:bookmarkEnd w:id="23"/>
      <w:r>
        <w:rPr/>
        <w:t>Invia Prospetti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76575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rPr/>
      </w:pPr>
      <w:bookmarkStart w:id="24" w:name="__RefHeading___Toc6433_3431189521"/>
      <w:bookmarkEnd w:id="24"/>
      <w:r>
        <w:rPr/>
        <w:t>Diagramma di dislocazione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044315"/>
            <wp:effectExtent l="0" t="0" r="0" b="0"/>
            <wp:wrapSquare wrapText="largest"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4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rPr/>
      </w:pPr>
      <w:bookmarkStart w:id="25" w:name="__RefHeading___Toc6435_3431189521"/>
      <w:bookmarkEnd w:id="25"/>
      <w:r>
        <w:rPr/>
        <w:t>Manuale dell’amministratore</w:t>
      </w:r>
    </w:p>
    <w:p>
      <w:pPr>
        <w:pStyle w:val="Normal"/>
        <w:rPr/>
      </w:pPr>
      <w:r>
        <w:rPr/>
        <w:t>L’applicativo è scritto in php. La versione minima per un corretto funzionamento è php 7.4, ma essendo quest’ultima deprecata dal 2019 si conseglia di utilizzare php 8.0 o versioni più recenti.</w:t>
      </w:r>
    </w:p>
    <w:p>
      <w:pPr>
        <w:pStyle w:val="Heading2"/>
        <w:rPr/>
      </w:pPr>
      <w:r>
        <w:rPr/>
        <w:t>Installazione</w:t>
      </w:r>
    </w:p>
    <w:p>
      <w:pPr>
        <w:pStyle w:val="Normal"/>
        <w:numPr>
          <w:ilvl w:val="0"/>
          <w:numId w:val="7"/>
        </w:numPr>
        <w:rPr/>
      </w:pPr>
      <w:r>
        <w:rPr/>
        <w:t>Installare local by flywheel, un framework per la gestione di ambienti wordpress locali, e creare un account.</w:t>
      </w:r>
    </w:p>
    <w:p>
      <w:pPr>
        <w:pStyle w:val="Normal"/>
        <w:numPr>
          <w:ilvl w:val="0"/>
          <w:numId w:val="7"/>
        </w:numPr>
        <w:rPr/>
      </w:pPr>
      <w:r>
        <w:rPr/>
        <w:t>Cliccare il pulsante “Create a new site”.</w:t>
      </w:r>
    </w:p>
    <w:p>
      <w:pPr>
        <w:pStyle w:val="Normal"/>
        <w:numPr>
          <w:ilvl w:val="0"/>
          <w:numId w:val="7"/>
        </w:numPr>
        <w:rPr/>
      </w:pPr>
      <w:r>
        <w:rPr/>
        <w:t>Dare un nome al sito, ad esempio “Laureandosi”.</w:t>
      </w:r>
    </w:p>
    <w:p>
      <w:pPr>
        <w:pStyle w:val="Normal"/>
        <w:numPr>
          <w:ilvl w:val="0"/>
          <w:numId w:val="7"/>
        </w:numPr>
        <w:rPr/>
      </w:pPr>
      <w:r>
        <w:rPr/>
        <w:t>Inserire un nome utente e una password pre l’amministratore.</w:t>
      </w:r>
    </w:p>
    <w:p>
      <w:pPr>
        <w:pStyle w:val="Normal"/>
        <w:numPr>
          <w:ilvl w:val="0"/>
          <w:numId w:val="7"/>
        </w:numPr>
        <w:rPr/>
      </w:pPr>
      <w:r>
        <w:rPr/>
        <w:t>Cliccare sulla scritta “Site Folder” sotto al nome del sito e navigare in app/public/.</w:t>
      </w:r>
    </w:p>
    <w:p>
      <w:pPr>
        <w:pStyle w:val="Normal"/>
        <w:numPr>
          <w:ilvl w:val="0"/>
          <w:numId w:val="7"/>
        </w:numPr>
        <w:rPr/>
      </w:pPr>
      <w:r>
        <w:rPr/>
        <w:t>Rimuovere il file index.php preesistente e copiare l’intera cartella del progetto nella directory.</w:t>
      </w:r>
    </w:p>
    <w:p>
      <w:pPr>
        <w:pStyle w:val="Normal"/>
        <w:numPr>
          <w:ilvl w:val="0"/>
          <w:numId w:val="7"/>
        </w:numPr>
        <w:rPr/>
      </w:pPr>
      <w:r>
        <w:rPr/>
        <w:t>Copiaincollare nella barra di ricerca il campo “Site Host” presente sotto al nome del sito.</w:t>
      </w:r>
    </w:p>
    <w:p>
      <w:pPr>
        <w:pStyle w:val="Normal"/>
        <w:numPr>
          <w:ilvl w:val="0"/>
          <w:numId w:val="7"/>
        </w:numPr>
        <w:rPr/>
      </w:pPr>
      <w:r>
        <w:rPr/>
        <w:t>Verificare il corretto funzionamento.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475730"/>
            <wp:effectExtent l="0" t="0" r="0" b="0"/>
            <wp:wrapSquare wrapText="largest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5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rFonts w:ascii="Aptos" w:hAnsi="Aptos"/>
        </w:rPr>
      </w:pPr>
      <w:r>
        <w:rPr>
          <w:rFonts w:ascii="Aptos" w:hAnsi="Aptos"/>
        </w:rPr>
        <w:t>Configurazione</w:t>
      </w:r>
    </w:p>
    <w:p>
      <w:pPr>
        <w:pStyle w:val="Normal"/>
        <w:rPr>
          <w:rFonts w:ascii="Aptos" w:hAnsi="Aptos"/>
        </w:rPr>
      </w:pPr>
      <w:r>
        <w:rPr>
          <w:rFonts w:ascii="Aptos" w:hAnsi="Aptos"/>
        </w:rPr>
        <w:t xml:space="preserve">Per verificare che tutto funzioni correttamente andare alla pagina dei test e verificare che tutti i test automatici siano superati. </w:t>
      </w:r>
    </w:p>
    <w:p>
      <w:pPr>
        <w:pStyle w:val="Normal"/>
        <w:rPr>
          <w:rFonts w:ascii="Aptos" w:hAnsi="Aptos"/>
        </w:rPr>
      </w:pPr>
      <w:r>
        <w:rPr>
          <w:rFonts w:ascii="Aptos" w:hAnsi="Aptos"/>
        </w:rPr>
        <w:t>Di seguito la guida per modificare i pararmetri di configurazione:</w:t>
      </w:r>
    </w:p>
    <w:p>
      <w:pPr>
        <w:pStyle w:val="Normal"/>
        <w:numPr>
          <w:ilvl w:val="0"/>
          <w:numId w:val="8"/>
        </w:numPr>
        <w:rPr>
          <w:rFonts w:ascii="Aptos" w:hAnsi="Aptos"/>
        </w:rPr>
      </w:pPr>
      <w:r>
        <w:rPr>
          <w:rFonts w:ascii="Aptos" w:hAnsi="Aptos"/>
        </w:rPr>
        <w:t>Cliccare il pulsante “Configuratore”.</w:t>
      </w:r>
    </w:p>
    <w:p>
      <w:pPr>
        <w:pStyle w:val="Normal"/>
        <w:numPr>
          <w:ilvl w:val="0"/>
          <w:numId w:val="8"/>
        </w:numPr>
        <w:rPr>
          <w:rFonts w:ascii="Aptos" w:hAnsi="Aptos"/>
        </w:rPr>
      </w:pPr>
      <w:r>
        <w:rPr>
          <w:rFonts w:ascii="Aptos" w:hAnsi="Aptos"/>
        </w:rPr>
        <w:t>Inserire la password (la password è admin) nella pagina di accesso.</w:t>
      </w:r>
    </w:p>
    <w:p>
      <w:pPr>
        <w:pStyle w:val="Normal"/>
        <w:numPr>
          <w:ilvl w:val="0"/>
          <w:numId w:val="8"/>
        </w:numPr>
        <w:rPr>
          <w:rFonts w:ascii="Aptos" w:hAnsi="Aptos"/>
        </w:rPr>
      </w:pPr>
      <w:r>
        <w:rPr>
          <w:rFonts w:ascii="Aptos" w:hAnsi="Aptos"/>
        </w:rPr>
        <w:t>Cliccare il pulsante “Accedi”.</w:t>
      </w:r>
    </w:p>
    <w:p>
      <w:pPr>
        <w:pStyle w:val="Normal"/>
        <w:numPr>
          <w:ilvl w:val="0"/>
          <w:numId w:val="8"/>
        </w:numPr>
        <w:rPr>
          <w:rFonts w:ascii="Aptos" w:hAnsi="Aptos"/>
        </w:rPr>
      </w:pPr>
      <w:r>
        <w:rPr>
          <w:rFonts w:ascii="Aptos" w:hAnsi="Aptos"/>
        </w:rPr>
        <w:t>Se si vuole modificare i parametri di configurazione di un dato corso di laurea, scegliere il corso di laurea dal menu a tendina, inserire una nuova formula per il calcolo del voto di laurea, una nuova lista degli esami informatici oppure un nuovo valore della lode e cliccare su “Configura”. I campi lasciati vuoti non vengono modificati.</w:t>
      </w:r>
    </w:p>
    <w:p>
      <w:pPr>
        <w:pStyle w:val="Normal"/>
        <w:numPr>
          <w:ilvl w:val="0"/>
          <w:numId w:val="8"/>
        </w:numPr>
        <w:rPr>
          <w:rFonts w:ascii="Aptos" w:hAnsi="Aptos"/>
        </w:rPr>
      </w:pPr>
      <w:r>
        <w:rPr>
          <w:rFonts w:ascii="Aptos" w:hAnsi="Aptos"/>
        </w:rPr>
        <w:t xml:space="preserve">Se si vuole cancellare i prospetti precedentemente generati cliccare il pulsante “Cancella tutti i Dati dell’Appello”. L’operazione è irreversibile, </w:t>
      </w:r>
      <w:r>
        <w:rPr>
          <w:rFonts w:ascii="Aptos" w:hAnsi="Aptos"/>
        </w:rPr>
        <w:t>dovranno essere generati nuovamente.</w:t>
      </w:r>
    </w:p>
    <w:p>
      <w:pPr>
        <w:pStyle w:val="Normal"/>
        <w:rPr>
          <w:rFonts w:ascii="Aptos" w:hAnsi="Aptos"/>
        </w:rPr>
      </w:pPr>
      <w:r>
        <w:rPr>
          <w:rFonts w:ascii="Aptos" w:hAnsi="Aptos"/>
        </w:rPr>
        <w:t>Questi comandi vanno ad agire sui due file json che il sistema mantiene in memoria. Il primo è data/json/esami_informatici.json, che contiene una lista in formato json degli esami informatici, utili per generare I prospetti di laurea di ingegneria informatica. Il secondo è data/json/formule_laurea.json, che viene utilizzato per contenere le informazioni relative ai corsi di laurea. Il valore della lode è inzialmente impostato a zero per tutti I corsi di laurea. DI seguito gli estratti dei due file.</w:t>
      </w:r>
    </w:p>
    <w:p>
      <w:pPr>
        <w:pStyle w:val="Normal"/>
        <w:rPr>
          <w:rFonts w:ascii="Aptos" w:hAnsi="Aptos"/>
        </w:rPr>
      </w:pPr>
      <w:r>
        <w:rPr>
          <w:rFonts w:ascii="Aptos" w:hAnsi="Aptos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69385" cy="398462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385" cy="398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ptos" w:hAnsi="Aptos"/>
        </w:rPr>
      </w:pPr>
      <w:r>
        <w:rPr>
          <w:rFonts w:ascii="Aptos" w:hAnsi="Aptos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916670"/>
            <wp:effectExtent l="0" t="0" r="0" b="0"/>
            <wp:wrapSquare wrapText="largest"/>
            <wp:docPr id="15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1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Manuale utente</w:t>
      </w:r>
    </w:p>
    <w:p>
      <w:pPr>
        <w:pStyle w:val="Normal"/>
        <w:rPr/>
      </w:pPr>
      <w:r>
        <w:rPr/>
        <w:t>Nella pagina principale sono presenti I seguenti campi: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Menu a tendina per selezionare il corso di laurea. </w:t>
      </w:r>
      <w:r>
        <w:rPr/>
        <w:t>Il corso di laurea viene inoltre validato dal sistema, per inserirlo è infatti obbligatorio utilizzare il form.</w:t>
      </w:r>
    </w:p>
    <w:p>
      <w:pPr>
        <w:pStyle w:val="Normal"/>
        <w:numPr>
          <w:ilvl w:val="0"/>
          <w:numId w:val="9"/>
        </w:numPr>
        <w:rPr/>
      </w:pPr>
      <w:r>
        <w:rPr/>
        <w:t>Casella</w:t>
      </w:r>
      <w:r>
        <w:rPr/>
        <w:t xml:space="preserve"> di testo nel</w:t>
      </w:r>
      <w:r>
        <w:rPr/>
        <w:t xml:space="preserve">la </w:t>
      </w:r>
      <w:r>
        <w:rPr/>
        <w:t xml:space="preserve">quale è possibile inserire le matricole dei laureandi dei quali si vuole generare il prospetto. Le matricole devono essere numeri naturali separati da virgole. </w:t>
      </w:r>
      <w:r>
        <w:rPr/>
        <w:t>Esse vengono validate dal sistema e ricercate nella base di dati.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Input della data dell’appello di laurea. Deve essere compresa nei due anni a venire </w:t>
      </w:r>
      <w:r>
        <w:rPr/>
        <w:t>e, ovviamente, nel futuro. Viene validata dal sistema.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Pulsante per generare i prospetti di laurea. </w:t>
      </w:r>
      <w:r>
        <w:rPr/>
        <w:t>Vengono generatii prospetti per i singoli laureandi e il prospetto della commissione.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Pulsante per inviare via mail i prospetti di laurea ai singoli laureandi. </w:t>
      </w:r>
    </w:p>
    <w:p>
      <w:pPr>
        <w:pStyle w:val="Normal"/>
        <w:numPr>
          <w:ilvl w:val="0"/>
          <w:numId w:val="9"/>
        </w:numPr>
        <w:rPr/>
      </w:pPr>
      <w:r>
        <w:rPr/>
        <w:t>Pulsante per aprire in una nuova scheda il prospetto della commissione.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Spazio in cui viene mostrato a video il messaggio di successo o di errore.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62605"/>
            <wp:effectExtent l="0" t="0" r="0" b="0"/>
            <wp:wrapSquare wrapText="largest"/>
            <wp:docPr id="16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Caso d’uso per generare prespetti</w:t>
      </w:r>
    </w:p>
    <w:p>
      <w:pPr>
        <w:pStyle w:val="Normal"/>
        <w:rPr>
          <w:rFonts w:ascii="Aptos" w:hAnsi="Aptos"/>
        </w:rPr>
      </w:pPr>
      <w:r>
        <w:rPr>
          <w:rFonts w:ascii="Aptos" w:hAnsi="Aptos"/>
        </w:rPr>
        <w:t xml:space="preserve">Di seguito è rappresentato lo stato della pagina principale prima di cliccare “Genera Prospetti”. </w:t>
      </w:r>
      <w:r>
        <w:rPr>
          <w:rFonts w:ascii="Aptos" w:hAnsi="Aptos"/>
        </w:rPr>
        <w:t>Nello specifico vengono generati I prospetti per l’appello di laurea della magistrale di ingegneria delle telecomunicazioni del 22 Febbraio 2027 per il laureando di matricola 234567.</w:t>
      </w:r>
    </w:p>
    <w:p>
      <w:pPr>
        <w:pStyle w:val="Normal"/>
        <w:rPr>
          <w:rFonts w:ascii="Aptos" w:hAnsi="Aptos"/>
        </w:rPr>
      </w:pPr>
      <w:r>
        <w:rPr>
          <w:rFonts w:ascii="Aptos" w:hAnsi="Aptos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21610"/>
            <wp:effectExtent l="0" t="0" r="0" b="0"/>
            <wp:wrapSquare wrapText="largest"/>
            <wp:docPr id="17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ptos" w:hAnsi="Aptos"/>
        </w:rPr>
      </w:pPr>
      <w:r>
        <w:rPr>
          <w:rFonts w:ascii="Aptos" w:hAnsi="Aptos"/>
        </w:rPr>
        <w:t>Una volta generat</w:t>
      </w:r>
      <w:r>
        <w:rPr>
          <w:rFonts w:ascii="Aptos" w:hAnsi="Aptos"/>
        </w:rPr>
        <w:t xml:space="preserve">i I </w:t>
      </w:r>
      <w:r>
        <w:rPr>
          <w:rFonts w:ascii="Aptos" w:hAnsi="Aptos"/>
        </w:rPr>
        <w:t>prospett</w:t>
      </w:r>
      <w:r>
        <w:rPr>
          <w:rFonts w:ascii="Aptos" w:hAnsi="Aptos"/>
        </w:rPr>
        <w:t>i (in questo caso uno solo)</w:t>
      </w:r>
      <w:r>
        <w:rPr>
          <w:rFonts w:ascii="Aptos" w:hAnsi="Aptos"/>
        </w:rPr>
        <w:t xml:space="preserve">, </w:t>
      </w:r>
      <w:r>
        <w:rPr>
          <w:rFonts w:ascii="Aptos" w:hAnsi="Aptos"/>
        </w:rPr>
        <w:t>è possibile inviarli via mail ai laureandi oppure visualizzare il prospetto della commissione.</w:t>
      </w:r>
    </w:p>
    <w:p>
      <w:pPr>
        <w:pStyle w:val="Normal"/>
        <w:spacing w:before="0" w:after="160"/>
        <w:rPr/>
      </w:pPr>
      <w:r>
        <w:rPr/>
      </w:r>
    </w:p>
    <w:sectPr>
      <w:headerReference w:type="even" r:id="rId30"/>
      <w:headerReference w:type="default" r:id="rId31"/>
      <w:headerReference w:type="first" r:id="rId32"/>
      <w:footerReference w:type="even" r:id="rId33"/>
      <w:footerReference w:type="default" r:id="rId34"/>
      <w:footerReference w:type="first" r:id="rId35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ptos">
    <w:altName w:val="serif"/>
    <w:charset w:val="01"/>
    <w:family w:val="roman"/>
    <w:pitch w:val="variable"/>
  </w:font>
  <w:font w:name="Aptos">
    <w:charset w:val="01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left="-115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right="-115"/>
            <w:jc w:val="righ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left="-115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right="-115"/>
            <w:jc w:val="righ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left="-115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right="-115"/>
            <w:jc w:val="righ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left="-115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right="-115"/>
            <w:jc w:val="righ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  <w:rPr/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/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2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uiPriority w:val="9"/>
    <w:qFormat/>
    <w:rsid w:val="3cb4ff0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cb4ff0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cb4ff0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3cb4ff0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3cb4ff0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itle">
    <w:name w:val="Title"/>
    <w:basedOn w:val="Normal"/>
    <w:next w:val="Normal"/>
    <w:uiPriority w:val="10"/>
    <w:qFormat/>
    <w:rsid w:val="3cb4ff08"/>
    <w:pPr>
      <w:spacing w:lineRule="auto" w:line="240" w:before="0" w:after="80"/>
      <w:contextualSpacing/>
    </w:pPr>
    <w:rPr>
      <w:rFonts w:ascii="Aptos Display" w:hAnsi="Aptos Display" w:eastAsia="" w:cs="" w:asciiTheme="majorAscii" w:cstheme="majorBidi" w:eastAsiaTheme="majorEastAsia" w:hAnsiTheme="majorAsci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3cb4ff08"/>
    <w:pPr/>
    <w:rPr>
      <w:rFonts w:eastAsia="" w:cs="" w:cstheme="majorBidi" w:eastAsiaTheme="majorEastAsia"/>
      <w:color w:themeColor="text1" w:themeTint="a6"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3cb4ff08"/>
    <w:pPr>
      <w:spacing w:before="0" w:after="16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Bullet">
    <w:name w:val="Bullet •"/>
    <w:qFormat/>
  </w:style>
  <w:style w:type="numbering" w:styleId="Numbering123">
    <w:name w:val="Numbering 123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svg"/><Relationship Id="rId5" Type="http://schemas.openxmlformats.org/officeDocument/2006/relationships/image" Target="media/image4.png"/><Relationship Id="rId6" Type="http://schemas.openxmlformats.org/officeDocument/2006/relationships/image" Target="media/image5.svg"/><Relationship Id="rId7" Type="http://schemas.openxmlformats.org/officeDocument/2006/relationships/image" Target="media/image6.png"/><Relationship Id="rId8" Type="http://schemas.openxmlformats.org/officeDocument/2006/relationships/image" Target="media/image7.svg"/><Relationship Id="rId9" Type="http://schemas.openxmlformats.org/officeDocument/2006/relationships/image" Target="media/image8.png"/><Relationship Id="rId10" Type="http://schemas.openxmlformats.org/officeDocument/2006/relationships/image" Target="media/image9.svg"/><Relationship Id="rId11" Type="http://schemas.openxmlformats.org/officeDocument/2006/relationships/image" Target="media/image10.png"/><Relationship Id="rId12" Type="http://schemas.openxmlformats.org/officeDocument/2006/relationships/image" Target="media/image11.svg"/><Relationship Id="rId13" Type="http://schemas.openxmlformats.org/officeDocument/2006/relationships/image" Target="media/image12.png"/><Relationship Id="rId14" Type="http://schemas.openxmlformats.org/officeDocument/2006/relationships/image" Target="media/image13.svg"/><Relationship Id="rId15" Type="http://schemas.openxmlformats.org/officeDocument/2006/relationships/image" Target="media/image14.png"/><Relationship Id="rId16" Type="http://schemas.openxmlformats.org/officeDocument/2006/relationships/image" Target="media/image15.svg"/><Relationship Id="rId17" Type="http://schemas.openxmlformats.org/officeDocument/2006/relationships/image" Target="media/image16.png"/><Relationship Id="rId18" Type="http://schemas.openxmlformats.org/officeDocument/2006/relationships/image" Target="media/image17.svg"/><Relationship Id="rId19" Type="http://schemas.openxmlformats.org/officeDocument/2006/relationships/image" Target="media/image18.png"/><Relationship Id="rId20" Type="http://schemas.openxmlformats.org/officeDocument/2006/relationships/image" Target="media/image19.svg"/><Relationship Id="rId21" Type="http://schemas.openxmlformats.org/officeDocument/2006/relationships/image" Target="media/image20.png"/><Relationship Id="rId22" Type="http://schemas.openxmlformats.org/officeDocument/2006/relationships/image" Target="media/image21.svg"/><Relationship Id="rId23" Type="http://schemas.openxmlformats.org/officeDocument/2006/relationships/image" Target="media/image22.png"/><Relationship Id="rId24" Type="http://schemas.openxmlformats.org/officeDocument/2006/relationships/image" Target="media/image23.sv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header" Target="header1.xml"/><Relationship Id="rId31" Type="http://schemas.openxmlformats.org/officeDocument/2006/relationships/header" Target="header2.xml"/><Relationship Id="rId32" Type="http://schemas.openxmlformats.org/officeDocument/2006/relationships/header" Target="header3.xml"/><Relationship Id="rId33" Type="http://schemas.openxmlformats.org/officeDocument/2006/relationships/footer" Target="footer1.xml"/><Relationship Id="rId34" Type="http://schemas.openxmlformats.org/officeDocument/2006/relationships/footer" Target="footer2.xml"/><Relationship Id="rId35" Type="http://schemas.openxmlformats.org/officeDocument/2006/relationships/footer" Target="footer3.xml"/><Relationship Id="rId36" Type="http://schemas.openxmlformats.org/officeDocument/2006/relationships/numbering" Target="numbering.xml"/><Relationship Id="rId37" Type="http://schemas.openxmlformats.org/officeDocument/2006/relationships/fontTable" Target="fontTable.xml"/><Relationship Id="rId38" Type="http://schemas.openxmlformats.org/officeDocument/2006/relationships/settings" Target="settings.xml"/><Relationship Id="rId3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Application>LibreOffice/25.2.7.2$Linux_X86_64 LibreOffice_project/520$Build-2</Application>
  <AppVersion>15.0000</AppVersion>
  <Pages>26</Pages>
  <Words>2009</Words>
  <Characters>11496</Characters>
  <CharactersWithSpaces>13217</CharactersWithSpaces>
  <Paragraphs>245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2026-02-14T13:58:33Z</dcterms:created>
  <dc:creator>Luca Maietti</dc:creator>
  <dc:description/>
  <dc:language>en-US</dc:language>
  <cp:lastModifiedBy/>
  <dcterms:modified xsi:type="dcterms:W3CDTF">2026-02-15T00:50:21Z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