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 w:val="0"/>
        <w:spacing w:before="0" w:after="0" w:line="240" w:lineRule="auto"/>
      </w:pPr>
      <w:r>
        <w:rPr>
          <w:rFonts w:ascii="Helvetica Neue Light" w:hAnsi="Helvetica Neue Light" w:eastAsia="Helvetica Neue Light"/>
          <w:sz w:val="31"/>
          <w:b w:val="0"/>
          <w:color w:val="5B7085"/>
        </w:rPr>
        <w:t>HSBA / 2. SEMESTER / MODULÜBERBLICK</w:t>
      </w:r>
    </w:p>
    <w:p>
      <w:pPr>
        <w:pStyle w:val="Title"/>
        <w:keepNext/>
        <w:keepLines w:val="0"/>
        <w:spacing w:before="0" w:after="40" w:line="240" w:lineRule="auto"/>
      </w:pPr>
      <w:r>
        <w:rPr>
          <w:rFonts w:ascii="Helvetica Neue" w:hAnsi="Helvetica Neue" w:eastAsia="Helvetica Neue"/>
          <w:sz w:val="56"/>
          <w:b/>
          <w:color w:val="082A4A"/>
        </w:rPr>
        <w:t>Software Engineering</w:t>
      </w:r>
    </w:p>
    <w:p>
      <w:pPr>
        <w:keepNext/>
        <w:keepLines w:val="0"/>
        <w:spacing w:before="0" w:after="160" w:line="240" w:lineRule="auto"/>
      </w:pPr>
      <w:r>
        <w:rPr>
          <w:rFonts w:ascii="Helvetica Neue" w:hAnsi="Helvetica Neue" w:eastAsia="Helvetica Neue"/>
          <w:sz w:val="19"/>
          <w:b w:val="0"/>
          <w:color w:val="5B7085"/>
        </w:rPr>
        <w:t>Prüfungsleistung · Quellenbasis · Inhaltskern · Stand 04.08.2026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1"/>
          <w:tblHeader w:val="1"/>
        </w:trPr>
        <w:tc>
          <w:tcPr>
            <w:tcW w:type="dxa" w:w="340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4"/>
                <w:b/>
                <w:color w:val="5B7085"/>
              </w:rPr>
              <w:t>PRÜFUNG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Helvetica Neue" w:hAnsi="Helvetica Neue" w:eastAsia="Helvetica Neue"/>
                <w:sz w:val="20"/>
                <w:b/>
                <w:color w:val="082A4A"/>
              </w:rPr>
              <w:t>Prüfungsform offen</w:t>
            </w:r>
          </w:p>
        </w:tc>
        <w:tc>
          <w:tcPr>
            <w:tcW w:type="dxa" w:w="340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4"/>
                <w:b/>
                <w:color w:val="5B7085"/>
              </w:rPr>
              <w:t>QUELLENBASIS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Helvetica Neue" w:hAnsi="Helvetica Neue" w:eastAsia="Helvetica Neue"/>
                <w:sz w:val="20"/>
                <w:b/>
                <w:color w:val="082A4A"/>
              </w:rPr>
              <w:t>11 Foliensätze</w:t>
            </w:r>
          </w:p>
        </w:tc>
        <w:tc>
          <w:tcPr>
            <w:tcW w:type="dxa" w:w="340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4"/>
                <w:b/>
                <w:color w:val="5B7085"/>
              </w:rPr>
              <w:t>HÖCHSTE PRIORITÄT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Helvetica Neue" w:hAnsi="Helvetica Neue" w:eastAsia="Helvetica Neue"/>
                <w:sz w:val="20"/>
                <w:b/>
                <w:color w:val="082A4A"/>
              </w:rPr>
              <w:t>Prüfungsmodus sichern</w:t>
            </w:r>
          </w:p>
        </w:tc>
      </w:tr>
    </w:tbl>
    <w:p>
      <w:pPr>
        <w:pStyle w:val="Heading1"/>
        <w:keepNext/>
        <w:keepLines w:val="0"/>
        <w:pageBreakBefore w:val="0"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1. Modulrahmen und Prüfungsleistung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2700"/>
        <w:gridCol w:w="7524"/>
      </w:tblGrid>
      <w:tr>
        <w:trPr>
          <w:cantSplit w:val="1"/>
          <w:tblHeader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Feld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Stand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Quellenlage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Elf englischsprachige Foliensätze aus 2026; Milena-Mercedes May ist durchgehend als Ansprechperson genannt.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Prüfungsform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Offen: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Keine Angabe zu Klausur, Präsentation, Projekt oder sonstigem Leistungsnachweis in den verfügbaren Dateien.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Termin / Gewichtung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Offen: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Termin, Dauer, Hilfsmittel, Stoffabgrenzung, Notengewichtung und Bewertungskriterien fehlen.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Lehrcharakter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Stark anwendungsorientiert: Gruppenübungen, MentorHive-Fall und konkrete Artefakte wie User Stories, Quality Scenarios, ADRs und Post-Mortems.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Fehlende Quelle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Offen: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In der nummerierten Reihe fehlt Datei 04; Thema und mögliche Prüfungsangaben sind unbekannt.</w:t>
            </w:r>
          </w:p>
        </w:tc>
      </w:tr>
    </w:tbl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Was konkret verlangt wird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Bis zur Bekanntgabe der Prüfungsform keine Format-, Zeit- oder Gewichtungsannahmen treffen.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Begriffe nicht nur definieren, sondern an einem durchgängigen Produktfall anwenden und vergleichen.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Entscheidungen über Qualität, Prozess, Architektur und Betrieb mit Trade-offs begründen.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MentorHive als gemeinsamen Transferfall für alle Themenblöcke nutzen.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Abgeleitet: </w:t>
      </w:r>
      <w:r>
        <w:rPr>
          <w:rFonts w:ascii="Helvetica Neue" w:hAnsi="Helvetica Neue" w:eastAsia="Helvetica Neue"/>
          <w:sz w:val="20"/>
          <w:b/>
          <w:color w:val="082A4A"/>
        </w:rPr>
        <w:t xml:space="preserve">Prüfungshebel: </w:t>
      </w:r>
      <w:r>
        <w:rPr>
          <w:rFonts w:ascii="Helvetica Neue" w:hAnsi="Helvetica Neue" w:eastAsia="Helvetica Neue"/>
          <w:sz w:val="20"/>
          <w:b w:val="0"/>
          <w:color w:val="233447"/>
        </w:rPr>
        <w:t>Zuerst Prüfungsform und Stoffabgrenzung sichern. Parallel entsteht ein MentorHive-End-to-End-Fall, der unabhängig vom Format anwendbares Wissen nachweist.</w:t>
      </w:r>
    </w:p>
    <w:p>
      <w:pPr>
        <w:pStyle w:val="Heading1"/>
        <w:keepNext/>
        <w:keepLines w:val="0"/>
        <w:pageBreakBefore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2. Verfügbare Quellen und ihr Inhalt</w:t>
      </w:r>
    </w:p>
    <w:p>
      <w:pPr>
        <w:keepNext w:val="0"/>
        <w:keepLines w:val="0"/>
        <w:spacing w:before="0" w:after="120" w:line="259" w:lineRule="auto"/>
      </w:pPr>
      <w:r>
        <w:rPr>
          <w:rFonts w:ascii="Helvetica Neue" w:hAnsi="Helvetica Neue" w:eastAsia="Helvetica Neue"/>
          <w:sz w:val="20"/>
          <w:color w:val="233447"/>
        </w:rPr>
        <w:t>Alle elf fachlichen Quellen sind englische PDF-Foliensätze. Die Markdown-Dateien im Modulordner organisieren nur die Ablage und enthalten keine zusätzlichen Prüfungs- oder Fachvorgaben.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3460"/>
        <w:gridCol w:w="4300"/>
        <w:gridCol w:w="2464"/>
      </w:tblGrid>
      <w:tr>
        <w:trPr>
          <w:cantSplit w:val="1"/>
          <w:tblHeader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Quelle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Inhalt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Nutzen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SW Engineering - 01 - Intro - 2026.pdf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Foliensatz · 12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Voraussetzungen Java/Git/Eclipse; Geschichte des Begriffs; Software-Schichten, Hardwareumgebungen und Gesamtlebenszyklus von Requirements bis Operations.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3–11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Begriffs- und Lebenszyklusrahmen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SW Engineering - 02 - Quality - 2026.pdf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Foliensatz · 27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Whole-Team-Quality, ISO-25010-Merkmale, Overengineering, Qualitätspriorisierung, Trade-offs und messbare Quality Scenarios.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2–26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Qualitätsanforderungen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SW Engineering - 03 - Requirements Engineering - 2026.pdf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Foliensatz · 20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Funktionale/nichtfunktionale Anforderungen, iterative Klärung, User Stories, Example Mapping, Akzeptanzkriterien und Gherkin.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2–19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Bedarf bis Testbarkeit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SW Engineering - 05 - Organisational Structure - 2026.pdf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Foliensatz · 24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Teammerkmale, Tuckman, Projekt vs. Produkt, Scope–Zeit–Budget/Qualität, funktionale/Projekt-/Matrixorganisation, Spotify-Modell und Holacracy.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2–23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Team- und Organisationsdesign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SW Engineering - 06 - SW Dev Processes - 2026.pdf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Foliensatz · 48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Wasserfall, V-Modell, DevOps, Agile Manifesto, XP, Scrum, Kanban, Flow/WIP, DoR/DoD sowie SAFe und LeSS.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3–46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Prozesswahl und Flow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SW Engineering - 07 - System Architecture - 2026.pdf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Foliensatz · 27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Last Responsible Moment, Dekomposition, Kohäsion/Kopplung, Architekturpatterns, Make-or-Buy, Cloud/On-Premise und Conway’s Law.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2–26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Systemstruktur und Patternwahl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SW Engineering - 08 - Software Architecture - 2026.pdf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Foliensatz · 34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OOP, Encapsulation/Inheritance/Polymorphism/Abstraction, Design Patterns, UML, arc42, ADRs und Architekturökonomie.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2–33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Softwarestruktur und Entscheidungen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SW Engineering - 09 - Design &amp; Implementation - 2026.pdf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Foliensatz · 35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UI/UX und Design Systems; Implementation, Debugging, TDD, Testing Pyramid, Test Doubles, Acceptance Testing, BDD und Reviews/Pairing.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2–34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Eingebaute Qualität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SW Engineering - 10 - Builds and Releases - 2026.pdf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Foliensatz · 34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Build-/Release-Automation, Git und Commits, SemVer, Branching, Regressionstests, CI/CD, Feature Toggles und DORA-Metriken.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2–33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Lieferfähigkeit und Messung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SW Engineering - 11 - Ops &amp; Maintenance - 2026.pdf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Foliensatz · 19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Blameless Post-Mortems, Monitoring, Alerts, Observability, Legacy Code, Refactoring/Rewrite und Technical Debt.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2–18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Betrieb und Weiterentwicklung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SW Engineering - Video Club.pdf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Video- und Vertiefungsliste · 16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Externe Lernvideos zu Testrollen, Holistic Testing, Continuous Delivery, Architekturökonomie, TDD und Developer-Productivity-Metriken.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2–15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Gezielte Vertiefung</w:t>
            </w:r>
          </w:p>
        </w:tc>
      </w:tr>
    </w:tbl>
    <w:p>
      <w:pPr>
        <w:pStyle w:val="Heading1"/>
        <w:keepNext/>
        <w:keepLines w:val="0"/>
        <w:pageBreakBefore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3. Das Allerwichtigste – inhaltlicher Kern</w:t>
      </w:r>
    </w:p>
    <w:p>
      <w:pPr>
        <w:keepNext w:val="0"/>
        <w:keepLines w:val="0"/>
        <w:spacing w:before="0" w:after="120" w:line="259" w:lineRule="auto"/>
      </w:pPr>
      <w:r>
        <w:rPr>
          <w:rFonts w:ascii="Helvetica Neue" w:hAnsi="Helvetica Neue" w:eastAsia="Helvetica Neue"/>
          <w:sz w:val="20"/>
          <w:color w:val="233447"/>
        </w:rPr>
        <w:t>Der rote Faden ist ein durchgängiger Produktlebenszyklus: Bedarf klären, Qualität messbar machen, Arbeit organisieren, Architektur entscheiden, Software bauen, zuverlässig ausliefern und betreiben.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1. Qualität messbar machen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ISO 25010 strukturiert Produktqualität in Merkmale wie Functional Suitability, Performance Efficiency, Compatibility, Interaction Capability, Reliability, Security, Maintainability, Flexibility und Safety. Qualität ist Whole-Team-Verantwortung.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Nichtfunktionale Anforderungen als messbare Quality Scenarios formulieren.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Qualitätsziele nach Geschäftsnutzen priorisieren und Trade-offs offenlegen.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Overengineering und Qualitätsvernachlässigung sind zwei Seiten derselben Fehlsteuerung.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Vage Wörter wie schnell oder sicher ohne Messgröße verwenden oder Qualität an Tester delegieren.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Für MentorHive drei priorisierte Quality Scenarios mit Messgröße und Zielwert formulieren.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2. Requirements vom Bedarf bis zur Testbarkeit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Funktionale Anforderungen beschreiben Funktionen, nichtfunktionale Anforderungen Qualitätsmerkmale. User Stories, Example Mapping und Akzeptanzkriterien machen Bedarf schrittweise konkret und prüfbar.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User Story: As [role], I want [goal], so that [benefit].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Example Mapping: Story → Regeln → Beispiele → offene Fragen oder neue Stories.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Gherkin: Given – When – Then; Ergebnis beschreiben, nicht Implementierung vorwegnehmen.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Technik oder UI zu früh festlegen und Kriterien formulieren, die nicht binär prüfbar sind.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Eine Story mit Regeln, Grenzfällen, Gherkin-Kriterien und offenen Fragen vollständig verfeinern.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3. Prozesse als Feedback- und Flow-System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Wasserfall und V-Modell strukturieren sequenziell; agile und iterative Ansätze verkürzen Feedbackzyklen. Scrum organisiert Rollen und Timeboxes, Kanban optimiert Durchsatz durch Pull und WIP-Limits.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Auslastung ist nicht gleich Durchsatz; zu viel WIP erzeugt Warteschlangen.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Definition of Ready verhindert den Start unreifer Stories.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Definition of Done verhindert unsichtbare fast-fertige Arbeit.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Agilität mit Planlosigkeit verwechseln oder lokale Auslastung statt Gesamtdurchsatz maximieren.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Für einen Fall Wasserfall, V-Modell, Scrum und Kanban vergleichen und eine Auswahl begründen.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4. Team, Produkt und Organisation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Teams entwickeln sich nach Tuckman; Projekte sind zeitlich begrenzte Vorhaben, Produkte langfristige Wertangebote. Organisationsform und Kommunikationswege prägen nach Conway’s Law die Systemarchitektur.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Projektmanagement-Dreieck: Scope, Zeit und Budget beeinflussen Qualität.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Funktionale, Projekt- und Matrixorganisation besitzen unterschiedliche Übergaben und Prioritätskonflikte.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Teamstruktur, Verantwortung und Architektur gemeinsam gestalten.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Qualität als frei verhandelbare vierte Größe behandeln oder Organisationsgrenzen in der Architektur ignorieren.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Eine Organisationsform für MentorHive wählen und zwei erwartete Architekturfolgen erklären.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5. Architektur als begründete Entscheidung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Gute Architektur strebt hohe Kohäsion innerhalb und lose Kopplung zwischen Teilen an. Patterns sind wiederverwendbare Lösungsansätze; die Auswahl muss zu Qualitätszielen, Organisation und Änderungsrisiken passen.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Systemarchitektur umfasst Software, Hardware, Netze und Daten; Softwarearchitektur die Softwarestruktur.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Layered/N-Tier, SOA/REST, Microservices, SCS, Event-driven, ETL und MVC nach Problem vergleichen.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ADR dokumentiert Titel, Kontext, Entscheidung, Status und Konsequenzen.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Microservices automatisch als beste Lösung wählen oder negative Konsequenzen eines ADR auslassen.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Eine Architekturentscheidung mit mindestens zwei Alternativen und vollständigem ADR dokumentieren.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6. Implementierung und eingebaute Qualität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TDD verbindet Test, minimale Implementierung und Refactoring. Die Testing Pyramid bevorzugt viele schnelle Unit Tests, ergänzt um weniger Integrations- und End-to-End-Tests; Reviews und Pairing verkürzen Feedback.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TDD: Red → Green → Refactor.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Acceptance Testing prüft Anforderungen; BDD formuliert Verhalten vor der Implementierung.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Test Doubles isolieren Abhängigkeiten; Regressionstests schützen bestehendes Verhalten.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Testpyramide umdrehen, TDD ohne Refactoring betreiben oder Reviews als langsame Übergabe organisieren.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Für eine Story Testebenen, Akzeptanztest und geeignete Reviewform begründen.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7. Build, Release und Betrieb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CI integriert häufig; Continuous Delivery hält jederzeit releasbar; Continuous Deployment bringt Änderungen automatisch in Produktion. Betrieb schließt den Kreis über DORA, Monitoring, Observability, Post-Mortems und Technical Debt.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SemVer: MAJOR.MINOR.PATCH; lange Branches erhöhen Merge-Risiko.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DORA: Deployment Frequency, Lead Time, Change Failure Rate, Time to Restore Service.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Monitoring beobachtet bekannte Signale; Observability ermöglicht neue Fragen an den Systemzustand.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Blameless Post-Mortems suchen systemische Ursachen und Maßnahmen.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Continuous Delivery und Deployment gleichsetzen oder Personen statt des Systems messen und beschuldigen.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Einen Incident mit Messsignalen, Post-Mortem und zwei systemischen Folgemaßnahmen analysieren.</w:t>
      </w:r>
    </w:p>
    <w:p>
      <w:pPr>
        <w:pStyle w:val="Heading1"/>
        <w:keepNext/>
        <w:keepLines w:val="0"/>
        <w:pageBreakBefore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4. Prüfungsstrategie und nächste Arbeitsergebnisse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1550"/>
        <w:gridCol w:w="5060"/>
        <w:gridCol w:w="3614"/>
      </w:tblGrid>
      <w:tr>
        <w:trPr>
          <w:cantSplit w:val="1"/>
          <w:tblHeader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Priorität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Konkretes Ergebnis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Nachweis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1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Prüfungsform, Termin, Sprache, Hilfsmittel, Gewichtung und Stoffabgrenzung schriftlich sichern.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Offizielle Modul- oder Lehrendenangabe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2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MentorHive-End-to-End-Fall mit Quality Scenarios, User Stories, Example Map, ADR, DoR/DoD und Betriebsmetriken erstellen.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Ein konsistentes Fallpaket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3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Prozesse und Architekturpatterns anhand konkreter Trade-offs vergleichen.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Zwei begründete Entscheidungsfälle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4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TDD, Testing Pyramid, CI/CD, DORA, Monitoring und Observability ohne Begriffsvermischung erklären.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Teach-back ohne Folien</w:t>
            </w:r>
          </w:p>
        </w:tc>
      </w:tr>
    </w:tbl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Offene Punkte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Welche Prüfungsform, Dauer, Sprache, Hilfsmittel und Bewertungskriterien gelten?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Sind Übungen oder Abgaben benotet und welche Themen sind prüfungsrelevant?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Was enthält der fehlende Foliensatz 04?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Gibt es außerhalb des Ordners Modulbeschreibung, Terminplan, Aufgabenstellung oder Musterlösungen?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Statuslogik: </w:t>
      </w:r>
      <w:r>
        <w:rPr>
          <w:rFonts w:ascii="Helvetica Neue" w:hAnsi="Helvetica Neue" w:eastAsia="Helvetica Neue"/>
          <w:sz w:val="20"/>
          <w:b w:val="0"/>
          <w:color w:val="233447"/>
        </w:rPr>
        <w:t>Belegt = Primärquelle · Kursinfo = von Felix bestätigt · Abgeleitet = nachvollziehbarer Schluss · Offen = noch zu bestätigen.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Quellenbasis: </w:t>
      </w:r>
      <w:r>
        <w:rPr>
          <w:rFonts w:ascii="Helvetica Neue" w:hAnsi="Helvetica Neue" w:eastAsia="Helvetica Neue"/>
          <w:sz w:val="20"/>
          <w:b w:val="0"/>
          <w:color w:val="233447"/>
        </w:rPr>
        <w:t>Elf lokale PDF-Foliensätze aus 2026; keine Prüfungsordnung oder Modulbeschreibung im Modulordner. Externe Vertiefungsquellen sind in den Folien genannt, aber nicht lokal abgelegt.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Helvetica Neue" w:hAnsi="Helvetica Neue" w:eastAsia="Helvetica Neue"/>
        <w:sz w:val="16"/>
        <w:b w:val="0"/>
        <w:color w:val="5B7085"/>
      </w:rPr>
      <w:t>HSBA | Software Engineering | Modulüberblick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abstractNum w:abstractNumId="5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Software Engineering – Modulüberblick</dc:title>
  <cp:lastModifiedBy>python-docx</cp:lastModifiedBy>
  <cp:revision>1</cp:revision>
  <dcterms:modified xsi:type="dcterms:W3CDTF">2026-08-04T10:15:25Z</dcterms:modified>
  <dc:subject>Prüfungsleistung, Quellenbasis und inhaltlicher Kern</dc:subject>
  <dc:creator>Felix Heinsius</dc:creator>
</cp:coreProperties>
</file>