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 w:val="0"/>
        <w:spacing w:before="0" w:after="0" w:line="240" w:lineRule="auto"/>
      </w:pPr>
      <w:r>
        <w:rPr>
          <w:rFonts w:ascii="Helvetica Neue Light" w:hAnsi="Helvetica Neue Light" w:eastAsia="Helvetica Neue Light"/>
          <w:sz w:val="31"/>
          <w:b w:val="0"/>
          <w:color w:val="5B7085"/>
        </w:rPr>
        <w:t>HSBA / 2. SEMESTER / MODULÜBERBLICK</w:t>
      </w:r>
    </w:p>
    <w:p>
      <w:pPr>
        <w:pStyle w:val="Title"/>
        <w:keepNext/>
        <w:keepLines w:val="0"/>
        <w:spacing w:before="0" w:after="40" w:line="240" w:lineRule="auto"/>
      </w:pPr>
      <w:r>
        <w:rPr>
          <w:rFonts w:ascii="Helvetica Neue" w:hAnsi="Helvetica Neue" w:eastAsia="Helvetica Neue"/>
          <w:sz w:val="56"/>
          <w:b/>
          <w:color w:val="082A4A"/>
        </w:rPr>
        <w:t>Marketing Management</w:t>
      </w:r>
    </w:p>
    <w:p>
      <w:pPr>
        <w:keepNext/>
        <w:keepLines w:val="0"/>
        <w:spacing w:before="0" w:after="160" w:line="240" w:lineRule="auto"/>
      </w:pPr>
      <w:r>
        <w:rPr>
          <w:rFonts w:ascii="Helvetica Neue" w:hAnsi="Helvetica Neue" w:eastAsia="Helvetica Neue"/>
          <w:sz w:val="19"/>
          <w:b w:val="0"/>
          <w:color w:val="5B7085"/>
        </w:rPr>
        <w:t>Prüfungsleistung · Quellenbasis · Inhaltskern · Stand 04.08.2026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 w:val="1"/>
          <w:tblHeader w:val="1"/>
        </w:trPr>
        <w:tc>
          <w:tcPr>
            <w:tcW w:type="dxa" w:w="340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4"/>
                <w:b/>
                <w:color w:val="5B7085"/>
              </w:rPr>
              <w:t>PRÜFUNG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Helvetica Neue" w:hAnsi="Helvetica Neue" w:eastAsia="Helvetica Neue"/>
                <w:sz w:val="20"/>
                <w:b/>
                <w:color w:val="082A4A"/>
              </w:rPr>
              <w:t>Praxisbericht im Team</w:t>
            </w:r>
          </w:p>
        </w:tc>
        <w:tc>
          <w:tcPr>
            <w:tcW w:type="dxa" w:w="340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4"/>
                <w:b/>
                <w:color w:val="5B7085"/>
              </w:rPr>
              <w:t>QUELLENBASIS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Helvetica Neue" w:hAnsi="Helvetica Neue" w:eastAsia="Helvetica Neue"/>
                <w:sz w:val="20"/>
                <w:b/>
                <w:color w:val="082A4A"/>
              </w:rPr>
              <w:t>4 PDF-Quellen</w:t>
            </w:r>
          </w:p>
        </w:tc>
        <w:tc>
          <w:tcPr>
            <w:tcW w:type="dxa" w:w="340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4"/>
                <w:b/>
                <w:color w:val="5B7085"/>
              </w:rPr>
              <w:t>HÖCHSTE PRIORITÄT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Helvetica Neue" w:hAnsi="Helvetica Neue" w:eastAsia="Helvetica Neue"/>
                <w:sz w:val="20"/>
                <w:b/>
                <w:color w:val="082A4A"/>
              </w:rPr>
              <w:t>Team + Unternehmen bis 10.08.</w:t>
            </w:r>
          </w:p>
        </w:tc>
      </w:tr>
    </w:tbl>
    <w:p>
      <w:pPr>
        <w:pStyle w:val="Heading1"/>
        <w:keepNext/>
        <w:keepLines w:val="0"/>
        <w:pageBreakBefore w:val="0"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1. Modulrahmen und Prüfungsleistung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2700"/>
        <w:gridCol w:w="7524"/>
      </w:tblGrid>
      <w:tr>
        <w:trPr>
          <w:cantSplit w:val="1"/>
          <w:tblHeader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Feld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Stand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Modulrahmen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Studienjahr 2025/2026; Prof. Dr. Ann-Kristin Hölter; 48 Kontaktstunden.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Prüfungsform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Wissenschaftlicher Praxisbericht zum Marketing-Management-Prozess im Team aus zwei oder drei Personen.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Teamregel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 / Widerspruch: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Der spezifische Prüfungsleitfaden erlaubt zwei oder drei Personen; die Kursagenda nennt 3er-Teams. Ein 2er-Team deshalb kurz bestätigen lassen.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Fallauswahl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Selbst gewähltes Unternehmen, das kein HSBA-Kooperationsunternehmen ist; Team und Unternehmen bis 10.08.2026, 18:00 Uhr melden.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Umfang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4.000–6.000 Wörter einschließlich Fußnoten, ohne Titelblatt, Literaturverzeichnis und Anhang; zusätzlich maximal 300 Wörter individuelle Stellungnahme je Person.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Abgabe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PDF über WISEflow am ersten Tag der Prüfungswoche; konkretes Datum offen.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Bewertung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Methodik/wissenschaftliche Anwendung 40, Eigenständigkeit 30, individuelle Stellungnahme 10, Verständlichkeit/formale Qualität 20 Punkte; mindestens Note 4,0.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Bestehensregeln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 / Abgeleitet: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Fristversäumnis führt zum Fehlversuch. Der Leitfaden fordert außerdem mindestens 20 % in jedem der „drei Bewertungsbereiche“; wahrscheinlich sind die Teambericht-Bereiche 40/30/20 gemeint, daher bestätigen.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Offen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Offen: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Team, Unternehmen, Forschungsfrage, Schwerpunkt, Abgabedatum, Abgabesprache sowie ECTS/Notengewichtung.</w:t>
            </w:r>
          </w:p>
        </w:tc>
      </w:tr>
    </w:tbl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Was konkret verlangt wird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Klare Forschungsfrage und Storyline entwickeln; nicht nur das Unternehmen beschreiben.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Geeignete Marketingmodelle auswählen, auf den realen Fall anwenden und kritisch bewerten.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Vorlesungsfolien nicht als alleinige wissenschaftliche Quelle verwenden.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Teambericht und individuelle Stellungnahme sauber trennen.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Chicago Author-Date, Verzeichnisse, ehrenwörtliche Erklärung und KI-/Prompt-Dokumentation regelkonform umsetzen.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Dateiname nach dem vorgegebenen Schema und Abgabe als PDF über WISEflow.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Abgeleitet: </w:t>
      </w:r>
      <w:r>
        <w:rPr>
          <w:rFonts w:ascii="Helvetica Neue" w:hAnsi="Helvetica Neue" w:eastAsia="Helvetica Neue"/>
          <w:sz w:val="20"/>
          <w:b/>
          <w:color w:val="082A4A"/>
        </w:rPr>
        <w:t xml:space="preserve">Prüfungshebel: </w:t>
      </w:r>
      <w:r>
        <w:rPr>
          <w:rFonts w:ascii="Helvetica Neue" w:hAnsi="Helvetica Neue" w:eastAsia="Helvetica Neue"/>
          <w:sz w:val="20"/>
          <w:b w:val="0"/>
          <w:color w:val="233447"/>
        </w:rPr>
        <w:t>Die größte Hebelwirkung liegt in einer engen Forschungsfrage, nachvollziehbarer Methodenauswahl, sauberer Anwendung auf belastbare Unternehmensdaten und einer kritischen statt rein beschreibenden Bewertung.</w:t>
      </w:r>
    </w:p>
    <w:p>
      <w:pPr>
        <w:pStyle w:val="Heading1"/>
        <w:keepNext/>
        <w:keepLines w:val="0"/>
        <w:pageBreakBefore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2. Verfügbare Quellen und ihr Inhalt</w:t>
      </w:r>
    </w:p>
    <w:p>
      <w:pPr>
        <w:keepNext w:val="0"/>
        <w:keepLines w:val="0"/>
        <w:spacing w:before="0" w:after="120" w:line="259" w:lineRule="auto"/>
      </w:pPr>
      <w:r>
        <w:rPr>
          <w:rFonts w:ascii="Helvetica Neue" w:hAnsi="Helvetica Neue" w:eastAsia="Helvetica Neue"/>
          <w:sz w:val="20"/>
          <w:color w:val="233447"/>
        </w:rPr>
        <w:t>Vier PDFs decken Theorie, Prüfungsanforderungen, Fallanwendung und allgemeine Wissenschaftsregeln ab. Für den Bericht müssen zusätzlich externe wissenschaftliche Literatur und belastbare Unternehmens-/Marktdaten recherchiert werden.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3460"/>
        <w:gridCol w:w="4300"/>
        <w:gridCol w:w="2464"/>
      </w:tblGrid>
      <w:tr>
        <w:trPr>
          <w:cantSplit w:val="1"/>
          <w:tblHeader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Quelle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Inhalt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Nutzen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JG 25_Marketing_Management_Vorlesungsunterlagen_25_26_AKH.pdf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Vorlesungsfolien · 151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Marketingprozess; Marktanalyse; STP/Positionierung; Konsumentenverhalten; Sustainable Marketing/Ethik; Marktforschung; Produkt-, Preis-, Kommunikations- und Vertriebspolitik; Termine und Praxisberichtsbezug.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Prüfung S. 4; Agenda S. 7–8; Fachstoff S. 9–149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Theorie und Modellwahl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JG 25_Marketing_Management_Leitfaden Praxisbericht_deutsch_final.pdf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Prüfungsleitfaden · 8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Aufgabe, Team- und Fallregeln, Umfang, Abgabe, Dateiname, individuelle Stellungnahme, Bewertung und Bestehensanforderung.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1–8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Verbindliche Prüfungsanforderungen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Gruppenfallstudien_Marketing.pdf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Fallstudien · 13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Anwendungsfälle Jägermeister, GreenGlow, PureSip/AquaMax und Waterdrop zu Marktstrategie, Konsumentenverhalten, Nachhaltigkeit, Produkt/Preis und Kommunikation/Vertrieb.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1–13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Muster für Anwendung und Diskussion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Rules and Guidelines for written Assignments and Theses Update August 2025.pdf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HSBA-Wissenschaftsregeln · 17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Aufbau wissenschaftlicher Arbeiten, Zitation, Quellenqualität, formale Bestandteile, Eigenständigkeit und dokumentierte KI-Nutzung.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1–17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Formale und wissenschaftliche Qualität</w:t>
            </w:r>
          </w:p>
        </w:tc>
      </w:tr>
    </w:tbl>
    <w:p>
      <w:pPr>
        <w:pStyle w:val="Heading1"/>
        <w:keepNext/>
        <w:keepLines w:val="0"/>
        <w:pageBreakBefore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3. Das Allerwichtigste – inhaltlicher Kern</w:t>
      </w:r>
    </w:p>
    <w:p>
      <w:pPr>
        <w:keepNext w:val="0"/>
        <w:keepLines w:val="0"/>
        <w:spacing w:before="0" w:after="120" w:line="259" w:lineRule="auto"/>
      </w:pPr>
      <w:r>
        <w:rPr>
          <w:rFonts w:ascii="Helvetica Neue" w:hAnsi="Helvetica Neue" w:eastAsia="Helvetica Neue"/>
          <w:sz w:val="20"/>
          <w:color w:val="233447"/>
        </w:rPr>
        <w:t>Der Marketing-Management-Prozess verbindet Analyse, Strategie und Instrumente. Im Praxisbericht zählt nicht die Menge genannter Modelle, sondern eine begründete Auswahl, korrekte Anwendung und kritische Verknüpfung mit dem gewählten Unternehmen.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1. Marketing-Management-Prozess und ROMI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Marketing schafft Kundennutzen, baut Beziehungen auf und realisiert daraus Unternehmenswert. Der Prozess verbindet Marktverständnis, Strategie, Instrumente und Kontrolle; ROMI prüft den wirtschaftlichen Rückfluss von Marketinginvestitionen.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Ziel, Zielgruppe, Nutzenversprechen, Maßnahmen und Kennzahlen logisch verbinden.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Transaktions-, Kunden- und Beziehungsorientierung unterscheiden.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Wirkung nicht nur über Aktivität, sondern über Ergebniskennzahlen bewerten.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Marketing auf Werbung reduzieren oder Kennzahlen ohne Bezug zur Forschungsfrage auswählen.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Für das gewählte Unternehmen einen vollständigen Marketingprozess mit drei passenden KPIs skizzieren.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2. Marktanalyse und Nachfrage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Marktanalyse grenzt den relevanten Markt ab, beschreibt Teilnehmer und Wettbewerb und quantifiziert Potenzial, Volumen, Anteil und Nachfrageentwicklung.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Markt sachlich, räumlich, zeitlich und bedürfnisorientiert abgrenzen.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Marktpotenzial, Marktvolumen, Absatzvolumen und Marktanteil sauber unterscheiden.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Schätzungen transparent aus Daten, Annahmen und Szenarien aufbauen.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Markt zu breit definieren oder Schätzwerte ohne nachvollziehbare Annahmen als Fakten ausgeben.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Den relevanten Markt des Fallunternehmens abgrenzen und eine überprüfbare Nachfrageabschätzung erstellen.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3. Segmentierung, Targeting und Positionierung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STP zerlegt den Markt in relevante Segmente, wählt attraktive Zielgruppen und verankert ein unterscheidbares Nutzenversprechen im Wettbewerbsraum.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Segmentierung geografisch, demografisch, psychografisch oder verhaltensorientiert.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Targeting undifferenziert, differenziert, konzentriert oder individualisiert.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Positionierung muss Zielgruppe, Bezugsrahmen, Nutzen und Begründung verbinden; Porter liefert strategische Grundrichtungen.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Zielgruppe nur demografisch beschreiben oder Positionierung als Werbeslogan ohne Wettbewerbsbezug behandeln.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Ein Segment auswählen und eine Positionierung mit Zielgruppe, Nutzen, Wettbewerb und Reason Why formulieren.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4. Konsumentenverhalten und Customer Journey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Das S-O-R-Modell erklärt, wie Marketingstimuli über innere Prozesse zu Reaktionen führen. Kulturelle, soziale, persönliche und psychologische Faktoren prägen Kaufverhalten; Customer Journey und Touchpoints machen den Prozess sichtbar.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Vier B2C-Kaufverhaltenstypen nach Involvement und Markenunterschieden unterscheiden.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Problemerkennung, Informationssuche, Bewertung, Kauf und Nachkaufphase analysieren.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B2B-Kaufverhalten mit mehreren Rollen und organisationalen Einflüssen gesondert betrachten.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Beobachtetes Verhalten ohne Beleg auf innere Motive zurückführen oder Journey nur als lineare Funnelgrafik behandeln.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Für den Fall eine Customer Journey mit kritischen Touchpoints, Barrieren und messbaren Reaktionen entwickeln.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5. Sustainable Marketing und Marketingethik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Nachhaltiges Marketing verbindet Kunden-, Unternehmens- und Gesellschaftsinteressen über die gesamte Wertschöpfung. Ethik bewertet Entscheidungen in Produkt, Preis, Kommunikation und Distribution und kann durch Kodizes operationalisiert werden.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Postmaterialismus, Normaktivierung und Theory of Reasoned Action als Erklärungsansätze kennen.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Ökologische, soziale und wirtschaftliche Wirkungen sowie Rebound- und Greenwashing-Risiken prüfen.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Ethische Bewertung nicht mit rechtlicher Zulässigkeit gleichsetzen.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Nachhaltigkeit als Kommunikationslabel behandeln, ohne Produkt, Lieferkette und Anreizwirkungen zu prüfen.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Eine Marketingmaßnahme entlang der 4Ps ethisch bewerten und eine begründete Verbesserung vorschlagen.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6. Marktforschung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Marktforschung übersetzt ein Entscheidungsproblem in eine Forschungsfrage, prüft zuerst Sekundärdaten und erhebt nur bei Bedarf Primärdaten mit passender Methode.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Marketingentscheidung und Forschungsproblem trennen.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Sekundärdaten vor Primärforschung prüfen; Qualität, Aktualität und Passung bewerten.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Qualitative und quantitative Methoden nach Erkenntnisziel, Stichprobe und Auswertbarkeit auswählen.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Mit einer Methode beginnen, bevor Entscheidungsproblem, Forschungsfrage und Datenbedarf geklärt sind.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Für die Berichtsforschungsfrage Datenbedarf, Quellen, Methode und Grenzen in einem belastbaren Design darstellen.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7. Produkt- und Markenpolitik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Produktpolitik gestaltet Nutzenebenen, Sortiment, Lebenszyklus, Variation, Differenzierung, Diversifikation und Marke. Markenführung schafft Wiedererkennung, Vertrauen und strategische Abgrenzung.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Kern-, Basis-, erwarteten, erweiterten und potenziellen Nutzen auseinanderhalten.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Produktvariation, horizontale/vertikale Differenzierung und Diversifikationsrichtungen unterscheiden.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Branding Framework: Wettbewerb, Zielgruppe, Nutzen, Werte, Persönlichkeit und Belege konsistent verbinden.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Produkt nur als physisches Objekt oder Marke nur als Logo behandeln.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Produktnutzen und Markenführung des Fallunternehmens analysieren und eine konsistente Portfolioentscheidung ableiten.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8. Preispolitik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Preise entstehen aus Kosten, wahrgenommenem Wert, Nachfrage, Wettbewerb und Zielen. Preis-Absatz-Funktionen, Elastizität und Grenzlogik unterstützen Entscheidungen; Differenzierung und Verhaltenswirkungen ergänzen.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Lineare Nachfrage x(p)=a−bp; Elastizität misst relative Absatzreaktion auf Preisänderung.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Gewinn G(x)=U(x)−K(x) über Grenzerlös und Grenzkosten optimieren.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Demografische, geografische, zeitliche, mengen- und nutzenbezogene Preisdifferenzierung unterscheiden.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Kostenaufschlag ohne Kundennutzen/Wettbewerb verwenden oder Korrelation von Preis und Absatz als stabile Kausalität behandeln.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Eine Preisentscheidung mit Nachfragefunktion oder Elastizität rechnen und strategisch sowie ethisch bewerten.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9. Kommunikations- und Vertriebspolitik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Kommunikation steuert Botschaft, Kanal, Budget und Wirkung; Vertrieb gestaltet direkte/indirekte, kurze/lange, intensive/selektive/exklusive sowie Multi-Channel-Systeme.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Kommunikationsprozess, Push/Pull, Hierarchy of Effects und integrierte Kommunikation verbinden.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Instrumente und KPIs nach Ziel und Funnelstufe auswählen, nicht nach Verfügbarkeit.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Kanallänge, -breite und Integration nach Reichweite, Kontrolle, Kosten und Kundenerlebnis entscheiden.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Impressions mit Wirkung gleichsetzen oder mehrere Kanäle ohne Rollen, Datenintegration und Konfliktmanagement nebeneinanderstellen.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Einen integrierten Kommunikations- und Vertriebsmix mit Ziel, Zielgruppe, Kanälen, KPIs und Trade-offs entwickeln.</w:t>
      </w:r>
    </w:p>
    <w:p>
      <w:pPr>
        <w:pStyle w:val="Heading1"/>
        <w:keepNext/>
        <w:keepLines w:val="0"/>
        <w:pageBreakBefore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4. Prüfungsstrategie und nächste Arbeitsergebnisse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1550"/>
        <w:gridCol w:w="5060"/>
        <w:gridCol w:w="3614"/>
      </w:tblGrid>
      <w:tr>
        <w:trPr>
          <w:cantSplit w:val="1"/>
          <w:tblHeader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Priorität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Konkretes Ergebnis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Nachweis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Sofort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Team aus zwei oder drei Personen und zulässiges Unternehmen festlegen; bis 10.08.2026, 18:00 Uhr melden.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Bestätigung der Lehrenden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1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Enge Forschungsfrage, relevanten Markt und belastbare Datenlage prüfen.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Einseitiges Research Brief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2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Drei bis fünf geeignete Modelle auswählen und ihre Rolle in einer Storyline festlegen.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Gliederung mit Methodenbegründung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3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Quellenmatrix mit wissenschaftlicher Literatur, Unternehmens- und Marktdaten aufbauen.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Jede Kernaussage hat einen Beleg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4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Bericht, individuelle Stellungnahmen, Formalia, Dateiname und KI-Dokumentation getrennt qualitätssichern.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100-Punkte-Rubrik als Endcheck</w:t>
            </w:r>
          </w:p>
        </w:tc>
      </w:tr>
    </w:tbl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Offene Punkte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Team, Unternehmen, Forschungsfrage und Schwerpunkt festlegen.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Konkreten ersten Tag der Prüfungswoche und die Abgabesprache bestätigen.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ECTS und formale Notengewichtung ergänzen.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Früh prüfen, ob Datenzugang und wissenschaftliche Quellen für das gewählte Unternehmen ausreichend sind.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Statuslogik: </w:t>
      </w:r>
      <w:r>
        <w:rPr>
          <w:rFonts w:ascii="Helvetica Neue" w:hAnsi="Helvetica Neue" w:eastAsia="Helvetica Neue"/>
          <w:sz w:val="20"/>
          <w:b w:val="0"/>
          <w:color w:val="233447"/>
        </w:rPr>
        <w:t>Belegt = Primärquelle · Kursinfo = von Felix bestätigt · Abgeleitet = nachvollziehbarer Schluss · Offen = noch zu bestätigen.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Quellenbasis: </w:t>
      </w:r>
      <w:r>
        <w:rPr>
          <w:rFonts w:ascii="Helvetica Neue" w:hAnsi="Helvetica Neue" w:eastAsia="Helvetica Neue"/>
          <w:sz w:val="20"/>
          <w:b w:val="0"/>
          <w:color w:val="233447"/>
        </w:rPr>
        <w:t>Vier lokale PDF-Primärquellen: Vorlesungsfolien, Praxisberichtsleitfaden, Gruppenfallstudien und allgemeine HSBA-Regeln für wissenschaftliche Arbeiten.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Helvetica Neue" w:hAnsi="Helvetica Neue" w:eastAsia="Helvetica Neue"/>
        <w:sz w:val="16"/>
        <w:b w:val="0"/>
        <w:color w:val="5B7085"/>
      </w:rPr>
      <w:t>HSBA | Marketing Management | Modulüberblick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abstractNum w:abstractNumId="5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Marketing Management – Modulüberblick</dc:title>
  <cp:lastModifiedBy>python-docx</cp:lastModifiedBy>
  <cp:revision>1</cp:revision>
  <dcterms:modified xsi:type="dcterms:W3CDTF">2026-08-04T10:15:26Z</dcterms:modified>
  <dc:subject>Prüfungsleistung, Quellenbasis und inhaltlicher Kern</dc:subject>
  <dc:creator>Felix Heinsius</dc:creator>
</cp:coreProperties>
</file>