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HelveticaNeue-bold.ttf" ContentType="application/x-font-ttf"/>
  <Override PartName="/word/fonts/HelveticaNeue-boldItalic.ttf" ContentType="application/x-font-ttf"/>
  <Override PartName="/word/fonts/HelveticaNeue-italic.ttf" ContentType="application/x-font-ttf"/>
  <Override PartName="/word/fonts/HelveticaNeue-regular.ttf" ContentType="application/x-font-ttf"/>
  <Override PartName="/word/fonts/HelveticaNeueLight-bold.ttf" ContentType="application/x-font-ttf"/>
  <Override PartName="/word/fonts/HelveticaNeueLight-boldItalic.ttf" ContentType="application/x-font-ttf"/>
  <Override PartName="/word/fonts/HelveticaNeueLight-italic.ttf" ContentType="application/x-font-ttf"/>
  <Override PartName="/word/fonts/HelveticaNeueLight-regular.ttf" ContentType="application/x-font-ttf"/>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0" w:line="270" w:lineRule="auto"/>
        <w:ind w:left="0" w:right="0" w:firstLine="0"/>
        <w:jc w:val="left"/>
        <w:rPr>
          <w:rFonts w:ascii="Helvetica Neue" w:cs="Helvetica Neue" w:eastAsia="Helvetica Neue" w:hAnsi="Helvetica Neue"/>
          <w:b w:val="1"/>
          <w:bCs w:val="1"/>
          <w:smallCaps w:val="1"/>
          <w:color w:val="5b7085"/>
        </w:rPr>
      </w:pPr>
      <w:r>
        <w:rPr>
          <w:rtl w:val="0"/>
        </w:rPr>
      </w:r>
    </w:p>
    <w:p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0" w:line="270" w:lineRule="auto"/>
        <w:ind w:left="0" w:right="0" w:firstLine="0"/>
        <w:jc w:val="left"/>
        <w:rPr>
          <w:rFonts w:ascii="Helvetica Neue" w:cs="Helvetica Neue" w:eastAsia="Helvetica Neue" w:hAnsi="Helvetica Neue"/>
          <w:b w:val="1"/>
          <w:bCs w:val="1"/>
          <w:smallCaps w:val="1"/>
          <w:color w:val="5b7085"/>
        </w:rPr>
      </w:pPr>
      <w:r>
        <w:rPr>
          <w:rtl w:val="0"/>
        </w:rPr>
      </w:r>
    </w:p>
    <w:p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0" w:line="270" w:lineRule="auto"/>
        <w:ind w:left="0" w:right="0" w:firstLine="0"/>
        <w:jc w:val="left"/>
        <w:rPr>
          <w:rFonts w:ascii="Helvetica Neue" w:cs="Helvetica Neue" w:eastAsia="Helvetica Neue" w:hAnsi="Helvetica Neue"/>
          <w:b w:val="1"/>
          <w:bCs w:val="1"/>
          <w:smallCaps w:val="1"/>
          <w:color w:val="5b7085"/>
        </w:rPr>
      </w:pPr>
      <w:r>
        <w:rPr>
          <w:rtl w:val="0"/>
        </w:rPr>
      </w:r>
    </w:p>
    <w:p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0" w:line="270" w:lineRule="auto"/>
        <w:ind w:left="0" w:right="0" w:firstLine="0"/>
        <w:jc w:val="left"/>
        <w:rPr>
          <w:rFonts w:ascii="Helvetica Neue" w:cs="Helvetica Neue" w:eastAsia="Helvetica Neue" w:hAnsi="Helvetica Neue"/>
          <w:b w:val="1"/>
          <w:bCs w:val="1"/>
          <w:smallCaps w:val="1"/>
          <w:color w:val="5b7085"/>
        </w:rPr>
      </w:pPr>
      <w:r>
        <w:rPr>
          <w:rtl w:val="0"/>
        </w:rPr>
      </w:r>
    </w:p>
    <w:p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0" w:line="270" w:lineRule="auto"/>
        <w:ind w:left="0" w:right="0" w:firstLine="0"/>
        <w:jc w:val="left"/>
        <w:rPr>
          <w:rFonts w:ascii="Helvetica Neue" w:cs="Helvetica Neue" w:eastAsia="Helvetica Neue" w:hAnsi="Helvetica Neue"/>
          <w:b w:val="1"/>
          <w:bCs w:val="1"/>
          <w:smallCaps w:val="1"/>
          <w:color w:val="5b7085"/>
        </w:rPr>
      </w:pPr>
      <w:r>
        <w:rPr>
          <w:rtl w:val="0"/>
        </w:rPr>
      </w:r>
    </w:p>
    <w:p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0" w:line="270" w:lineRule="auto"/>
        <w:ind w:left="0" w:right="0" w:firstLine="0"/>
        <w:jc w:val="left"/>
        <w:rPr>
          <w:rFonts w:ascii="Helvetica Neue" w:cs="Helvetica Neue" w:eastAsia="Helvetica Neue" w:hAnsi="Helvetica Neue"/>
          <w:b w:val="1"/>
          <w:bCs w:val="1"/>
          <w:smallCaps w:val="1"/>
          <w:color w:val="5b7085"/>
        </w:rPr>
      </w:pPr>
      <w:r>
        <w:rPr>
          <w:rtl w:val="0"/>
        </w:rPr>
      </w:r>
    </w:p>
    <w:p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0" w:line="270" w:lineRule="auto"/>
        <w:ind w:left="0" w:right="0" w:firstLine="0"/>
        <w:jc w:val="left"/>
        <w:rPr>
          <w:rFonts w:ascii="Helvetica Neue" w:cs="Helvetica Neue" w:eastAsia="Helvetica Neue" w:hAnsi="Helvetica Neue"/>
          <w:b w:val="1"/>
          <w:bCs w:val="1"/>
          <w:smallCaps w:val="1"/>
          <w:color w:val="5b7085"/>
        </w:rPr>
      </w:pPr>
      <w:r>
        <w:rPr>
          <w:rtl w:val="0"/>
        </w:rPr>
      </w:r>
    </w:p>
    <w:p w14:paraId="00000008">
      <w:pPr>
        <w:spacing w:after="0" w:before="0" w:line="20" w:lineRule="auto"/>
        <w:rPr>
          <w:rFonts w:ascii="Helvetica Neue" w:cs="Helvetica Neue" w:eastAsia="Helvetica Neue" w:hAnsi="Helvetica Neue"/>
          <w:color w:val="000000"/>
        </w:rPr>
      </w:pPr>
      <w:r>
        <w:rPr>
          <w:rtl w:val="0"/>
        </w:rPr>
      </w:r>
    </w:p>
    <w:p w14:paraId="00000009">
      <w:pPr>
        <w:pStyle w:val="Title"/>
        <w:spacing w:line="240" w:lineRule="auto"/>
        <w:rPr>
          <w:rFonts w:ascii="Helvetica Neue Light" w:cs="Helvetica Neue Light" w:eastAsia="Helvetica Neue Light" w:hAnsi="Helvetica Neue Light"/>
          <w:b w:val="0"/>
          <w:bCs w:val="0"/>
          <w:color w:val="5b7085"/>
          <w:sz w:val="72"/>
          <w:szCs w:val="72"/>
        </w:rPr>
      </w:pPr>
      <w:r>
        <w:rPr>
          <w:rFonts w:ascii="Helvetica Neue Light" w:cs="Helvetica Neue Light" w:eastAsia="Helvetica Neue Light" w:hAnsi="Helvetica Neue Light"/>
          <w:b w:val="0"/>
          <w:bCs w:val="0"/>
          <w:color w:val="5b7085"/>
          <w:sz w:val="72"/>
          <w:szCs w:val="72"/>
          <w:rtl w:val="0"/>
        </w:rPr>
        <w:t>MOBIS / 2. Semester</w:t>
      </w:r>
    </w:p>
    <w:p w14:paraId="0000000A">
      <w:pPr>
        <w:pStyle w:val="Title"/>
        <w:spacing w:line="240" w:lineRule="auto"/>
        <w:rPr>
          <w:rFonts w:ascii="Helvetica Neue" w:cs="Helvetica Neue" w:eastAsia="Helvetica Neue" w:hAnsi="Helvetica Neue"/>
          <w:sz w:val="72"/>
          <w:szCs w:val="72"/>
        </w:rPr>
      </w:pPr>
      <w:r>
        <w:rPr>
          <w:rFonts w:ascii="Helvetica Neue" w:cs="Helvetica Neue" w:eastAsia="Helvetica Neue" w:hAnsi="Helvetica Neue"/>
          <w:sz w:val="72"/>
          <w:szCs w:val="72"/>
          <w:rtl w:val="0"/>
        </w:rPr>
        <w:t>Persönlicher Lehrplan</w:t>
      </w:r>
    </w:p>
    <w:p w14:paraId="0000000B">
      <w:pPr>
        <w:rPr>
          <w:rFonts w:ascii="Helvetica Neue" w:cs="Helvetica Neue" w:eastAsia="Helvetica Neue" w:hAnsi="Helvetica Neue"/>
        </w:rPr>
      </w:pPr>
      <w:r>
        <w:rPr>
          <w:rtl w:val="0"/>
        </w:rPr>
      </w:r>
    </w:p>
    <w:p w14:paraId="0000000C">
      <w:pPr>
        <w:rPr>
          <w:rFonts w:ascii="Helvetica Neue" w:cs="Helvetica Neue" w:eastAsia="Helvetica Neue" w:hAnsi="Helvetica Neue"/>
        </w:rPr>
      </w:pPr>
      <w:r>
        <w:rPr>
          <w:rtl w:val="0"/>
        </w:rPr>
      </w:r>
    </w:p>
    <w:p w14:paraId="0000000D">
      <w:pPr>
        <w:rPr>
          <w:rFonts w:ascii="Helvetica Neue" w:cs="Helvetica Neue" w:eastAsia="Helvetica Neue" w:hAnsi="Helvetica Neue"/>
        </w:rPr>
      </w:pPr>
      <w:r>
        <w:rPr>
          <w:rtl w:val="0"/>
        </w:rPr>
      </w:r>
    </w:p>
    <w:p w14:paraId="0000000E">
      <w:pPr>
        <w:rPr>
          <w:rFonts w:ascii="Helvetica Neue" w:cs="Helvetica Neue" w:eastAsia="Helvetica Neue" w:hAnsi="Helvetica Neue"/>
        </w:rPr>
      </w:pPr>
      <w:r>
        <w:rPr>
          <w:rtl w:val="0"/>
        </w:rPr>
      </w:r>
    </w:p>
    <w:p w14:paraId="0000000F">
      <w:pPr>
        <w:rPr>
          <w:rFonts w:ascii="Helvetica Neue" w:cs="Helvetica Neue" w:eastAsia="Helvetica Neue" w:hAnsi="Helvetica Neue"/>
        </w:rPr>
      </w:pPr>
      <w:r>
        <w:rPr>
          <w:rtl w:val="0"/>
        </w:rPr>
      </w:r>
    </w:p>
    <w:p w14:paraId="00000010">
      <w:pPr>
        <w:rPr>
          <w:rFonts w:ascii="Helvetica Neue" w:cs="Helvetica Neue" w:eastAsia="Helvetica Neue" w:hAnsi="Helvetica Neue"/>
        </w:rPr>
      </w:pPr>
      <w:r>
        <w:rPr>
          <w:rtl w:val="0"/>
        </w:rPr>
      </w:r>
    </w:p>
    <w:p w14:paraId="00000011">
      <w:pPr>
        <w:rPr>
          <w:rFonts w:ascii="Helvetica Neue" w:cs="Helvetica Neue" w:eastAsia="Helvetica Neue" w:hAnsi="Helvetica Neue"/>
        </w:rPr>
      </w:pPr>
      <w:r>
        <w:rPr>
          <w:rtl w:val="0"/>
        </w:rPr>
      </w:r>
    </w:p>
    <w:p w14:paraId="00000012">
      <w:pPr>
        <w:rPr>
          <w:rFonts w:ascii="Helvetica Neue" w:cs="Helvetica Neue" w:eastAsia="Helvetica Neue" w:hAnsi="Helvetica Neue"/>
        </w:rPr>
      </w:pPr>
      <w:r>
        <w:rPr>
          <w:rtl w:val="0"/>
        </w:rPr>
      </w:r>
    </w:p>
    <w:p w14:paraId="00000013">
      <w:pPr>
        <w:rPr>
          <w:rFonts w:ascii="Helvetica Neue" w:cs="Helvetica Neue" w:eastAsia="Helvetica Neue" w:hAnsi="Helvetica Neue"/>
        </w:rPr>
      </w:pPr>
      <w:r>
        <w:rPr>
          <w:rtl w:val="0"/>
        </w:rPr>
      </w:r>
    </w:p>
    <w:p w14:paraId="00000014">
      <w:pPr>
        <w:rPr>
          <w:rFonts w:ascii="Helvetica Neue" w:cs="Helvetica Neue" w:eastAsia="Helvetica Neue" w:hAnsi="Helvetica Neue"/>
        </w:rPr>
      </w:pPr>
      <w:r>
        <w:rPr>
          <w:rtl w:val="0"/>
        </w:rPr>
      </w:r>
    </w:p>
    <w:tbl>
      <w:tblPr>
        <w:tblStyle w:val="Table1"/>
        <w:tblW w:w="10400.0" w:type="dxa"/>
        <w:jc w:val="center"/>
        <w:tblLayout w:type="fixed"/>
        <w:tblLook w:val="0600"/>
      </w:tblPr>
      <w:tblGrid>
        <w:gridCol w:w="3200"/>
        <w:gridCol w:w="400"/>
        <w:gridCol w:w="3200"/>
        <w:gridCol w:w="400"/>
        <w:gridCol w:w="3200"/>
        <w:tblGridChange w:id="0">
          <w:tblGrid>
            <w:gridCol w:w="3200"/>
            <w:gridCol w:w="400"/>
            <w:gridCol w:w="3200"/>
            <w:gridCol w:w="400"/>
            <w:gridCol w:w="3200"/>
          </w:tblGrid>
        </w:tblGridChange>
      </w:tblGrid>
      <w:tr>
        <w:trPr>
          <w:cantSplit w:val="0"/>
          <w:tblHeader w:val="0"/>
        </w:trPr>
        <w:tc>
          <w:tcPr/>
          <w:p w14:paraId="00000015">
            <w:pPr>
              <w:pStyle w:val="Heading3"/>
              <w:rPr/>
            </w:pPr>
            <w:bookmarkStart w:colFirst="0" w:colLast="0" w:name="_heading=h.7ykrt4nkacae" w:id="0"/>
            <w:bookmarkEnd w:id="0"/>
            <w:r>
              <w:rPr>
                <w:rtl w:val="0"/>
              </w:rPr>
              <w:t>STATUS</w:t>
            </w:r>
          </w:p>
          <w:p w14:paraId="00000016">
            <w:pPr>
              <w:spacing w:after="110" w:line="300" w:lineRule="auto"/>
              <w:rPr>
                <w:rFonts w:ascii="Helvetica Neue" w:cs="Helvetica Neue" w:eastAsia="Helvetica Neue" w:hAnsi="Helvetica Neue"/>
              </w:rPr>
            </w:pPr>
            <w:r>
              <w:rPr>
                <w:rFonts w:ascii="Helvetica Neue" w:cs="Helvetica Neue" w:eastAsia="Helvetica Neue" w:hAnsi="Helvetica Neue"/>
                <w:color w:val="233447"/>
                <w:rtl w:val="0"/>
              </w:rPr>
              <w:t>AKTIV</w:t>
            </w:r>
          </w:p>
        </w:tc>
        <w:tc>
          <w:tcPr/>
          <w:p w14:paraId="00000017">
            <w:pPr>
              <w:rPr>
                <w:rFonts w:ascii="Helvetica Neue" w:cs="Helvetica Neue" w:eastAsia="Helvetica Neue" w:hAnsi="Helvetica Neue"/>
              </w:rPr>
            </w:pPr>
            <w:r>
              <w:rPr>
                <w:rtl w:val="0"/>
              </w:rPr>
            </w:r>
          </w:p>
        </w:tc>
        <w:tc>
          <w:tcPr/>
          <w:p w14:paraId="00000018">
            <w:pPr>
              <w:pStyle w:val="Heading3"/>
              <w:rPr/>
            </w:pPr>
            <w:bookmarkStart w:colFirst="0" w:colLast="0" w:name="_heading=h.yfftl1hqu8kl" w:id="1"/>
            <w:bookmarkEnd w:id="1"/>
            <w:r>
              <w:rPr>
                <w:rtl w:val="0"/>
              </w:rPr>
              <w:t>VERANTWORTLICH</w:t>
            </w:r>
          </w:p>
          <w:p w14:paraId="00000019">
            <w:pPr>
              <w:spacing w:after="110" w:line="300" w:lineRule="auto"/>
              <w:rPr>
                <w:rFonts w:ascii="Helvetica Neue" w:cs="Helvetica Neue" w:eastAsia="Helvetica Neue" w:hAnsi="Helvetica Neue"/>
              </w:rPr>
            </w:pPr>
            <w:r>
              <w:rPr>
                <w:rFonts w:ascii="Helvetica Neue" w:cs="Helvetica Neue" w:eastAsia="Helvetica Neue" w:hAnsi="Helvetica Neue"/>
                <w:color w:val="233447"/>
                <w:rtl w:val="0"/>
              </w:rPr>
              <w:t>Felix Heinsius</w:t>
            </w:r>
          </w:p>
        </w:tc>
        <w:tc>
          <w:tcPr/>
          <w:p w14:paraId="0000001A">
            <w:pPr>
              <w:rPr>
                <w:rFonts w:ascii="Helvetica Neue" w:cs="Helvetica Neue" w:eastAsia="Helvetica Neue" w:hAnsi="Helvetica Neue"/>
              </w:rPr>
            </w:pPr>
            <w:r>
              <w:rPr>
                <w:rtl w:val="0"/>
              </w:rPr>
            </w:r>
          </w:p>
        </w:tc>
        <w:tc>
          <w:tcPr/>
          <w:p w14:paraId="0000001B">
            <w:pPr>
              <w:pStyle w:val="Heading3"/>
              <w:rPr/>
            </w:pPr>
            <w:bookmarkStart w:colFirst="0" w:colLast="0" w:name="_heading=h.jp27tbh10tsa" w:id="2"/>
            <w:bookmarkEnd w:id="2"/>
            <w:r>
              <w:rPr>
                <w:rtl w:val="0"/>
              </w:rPr>
              <w:t>STAND</w:t>
            </w:r>
          </w:p>
          <w:p w14:paraId="0000001C">
            <w:pPr>
              <w:spacing w:after="110" w:line="300" w:lineRule="auto"/>
              <w:rPr>
                <w:rFonts w:ascii="Helvetica Neue" w:cs="Helvetica Neue" w:eastAsia="Helvetica Neue" w:hAnsi="Helvetica Neue"/>
              </w:rPr>
            </w:pPr>
            <w:r>
              <w:rPr>
                <w:rFonts w:ascii="Helvetica Neue" w:cs="Helvetica Neue" w:eastAsia="Helvetica Neue" w:hAnsi="Helvetica Neue"/>
                <w:rtl w:val="0"/>
              </w:rPr>
              <w:t>29. Juli 2026</w:t>
            </w:r>
          </w:p>
        </w:tc>
      </w:tr>
    </w:tbl>
    <w:p w14:paraId="0000001D">
      <w:pPr>
        <w:spacing w:after="110" w:line="300" w:lineRule="auto"/>
        <w:rPr>
          <w:rFonts w:ascii="Helvetica Neue" w:cs="Helvetica Neue" w:eastAsia="Helvetica Neue" w:hAnsi="Helvetica Neue"/>
        </w:rPr>
      </w:pPr>
      <w:r>
        <w:rPr>
          <w:rtl w:val="0"/>
        </w:rPr>
      </w:r>
    </w:p>
    <w:tbl>
      <w:tblPr>
        <w:tblStyle w:val="Table2"/>
        <w:tblW w:w="10155.0" w:type="dxa"/>
        <w:jc w:val="center"/>
        <w:tblBorders>
          <w:top w:color="ffffff" w:space="0" w:sz="8" w:val="single"/>
          <w:left w:color="ffffff" w:space="0" w:sz="8" w:val="single"/>
          <w:bottom w:color="ffffff" w:space="0" w:sz="8" w:val="single"/>
          <w:right w:color="ffffff" w:space="0" w:sz="8" w:val="single"/>
          <w:insideH w:color="ffffff" w:space="0" w:sz="8" w:val="single"/>
          <w:insideV w:color="ffffff" w:space="0" w:sz="8" w:val="single"/>
        </w:tblBorders>
        <w:tblLayout w:type="fixed"/>
        <w:tblLook w:val="0400"/>
      </w:tblPr>
      <w:tblGrid>
        <w:gridCol w:w="1815"/>
        <w:gridCol w:w="8340"/>
        <w:tblGridChange w:id="0">
          <w:tblGrid>
            <w:gridCol w:w="1815"/>
            <w:gridCol w:w="8340"/>
          </w:tblGrid>
        </w:tblGridChange>
      </w:tblGrid>
      <w:tr>
        <w:trPr>
          <w:cantSplit w:val="1"/>
          <w:tblHeader w:val="0"/>
        </w:trPr>
        <w:tc>
          <w:tcPr>
            <w:shd w:fill="cfe2f3" w:val="clear"/>
            <w:tcMar>
              <w:top w:w="110.0" w:type="dxa"/>
              <w:left w:w="120.0" w:type="dxa"/>
              <w:bottom w:w="110.0" w:type="dxa"/>
              <w:right w:w="120.0" w:type="dxa"/>
            </w:tcMar>
            <w:vAlign w:val="center"/>
          </w:tcPr>
          <w:p w14:paraId="0000001E">
            <w:pPr>
              <w:spacing w:after="25" w:before="20" w:line="285" w:lineRule="auto"/>
              <w:rPr>
                <w:rFonts w:ascii="Helvetica Neue" w:cs="Helvetica Neue" w:eastAsia="Helvetica Neue" w:hAnsi="Helvetica Neue"/>
                <w:color w:val="000000"/>
              </w:rPr>
            </w:pPr>
            <w:r>
              <w:rPr>
                <w:rFonts w:ascii="Helvetica Neue" w:cs="Helvetica Neue" w:eastAsia="Helvetica Neue" w:hAnsi="Helvetica Neue"/>
                <w:b w:val="1"/>
                <w:bCs w:val="1"/>
                <w:color w:val="000000"/>
                <w:rtl w:val="0"/>
              </w:rPr>
              <w:t>Autor</w:t>
            </w:r>
          </w:p>
        </w:tc>
        <w:tc>
          <w:tcPr>
            <w:tcBorders>
              <w:top w:color="ffffff" w:space="0" w:sz="8" w:val="single"/>
              <w:bottom w:color="ffffff" w:space="0" w:sz="8" w:val="single"/>
              <w:right w:color="ffffff" w:space="0" w:sz="8" w:val="single"/>
            </w:tcBorders>
            <w:shd w:fill="f6f9fc" w:val="clear"/>
            <w:tcMar>
              <w:top w:w="110.0" w:type="dxa"/>
              <w:left w:w="120.0" w:type="dxa"/>
              <w:bottom w:w="110.0" w:type="dxa"/>
              <w:right w:w="120.0" w:type="dxa"/>
            </w:tcMar>
            <w:vAlign w:val="center"/>
          </w:tcPr>
          <w:p w14:paraId="0000001F">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Codex / privater Tutor</w:t>
            </w:r>
          </w:p>
        </w:tc>
      </w:tr>
      <w:tr>
        <w:trPr>
          <w:cantSplit w:val="1"/>
          <w:trHeight w:val="404.3103027343749" w:hRule="atLeast"/>
          <w:tblHeader w:val="0"/>
        </w:trPr>
        <w:tc>
          <w:tcPr>
            <w:shd w:fill="cfe2f3" w:val="clear"/>
            <w:tcMar>
              <w:top w:w="110.0" w:type="dxa"/>
              <w:left w:w="120.0" w:type="dxa"/>
              <w:bottom w:w="110.0" w:type="dxa"/>
              <w:right w:w="120.0" w:type="dxa"/>
            </w:tcMar>
            <w:vAlign w:val="center"/>
          </w:tcPr>
          <w:p w14:paraId="00000020">
            <w:pPr>
              <w:spacing w:after="25" w:before="20" w:line="285" w:lineRule="auto"/>
              <w:rPr>
                <w:rFonts w:ascii="Helvetica Neue" w:cs="Helvetica Neue" w:eastAsia="Helvetica Neue" w:hAnsi="Helvetica Neue"/>
                <w:color w:val="000000"/>
              </w:rPr>
            </w:pPr>
            <w:r>
              <w:rPr>
                <w:rFonts w:ascii="Helvetica Neue" w:cs="Helvetica Neue" w:eastAsia="Helvetica Neue" w:hAnsi="Helvetica Neue"/>
                <w:b w:val="1"/>
                <w:bCs w:val="1"/>
                <w:color w:val="000000"/>
                <w:rtl w:val="0"/>
              </w:rPr>
              <w:t>Review</w:t>
            </w:r>
          </w:p>
        </w:tc>
        <w:tc>
          <w:tcPr>
            <w:tcBorders>
              <w:top w:color="ffffff" w:space="0" w:sz="8" w:val="single"/>
              <w:bottom w:color="ffffff" w:space="0" w:sz="8" w:val="single"/>
              <w:right w:color="ffffff" w:space="0" w:sz="8" w:val="single"/>
            </w:tcBorders>
            <w:shd w:fill="f6f9fc" w:val="clear"/>
            <w:tcMar>
              <w:top w:w="110.0" w:type="dxa"/>
              <w:left w:w="120.0" w:type="dxa"/>
              <w:bottom w:w="110.0" w:type="dxa"/>
              <w:right w:w="120.0" w:type="dxa"/>
            </w:tcMar>
            <w:vAlign w:val="center"/>
          </w:tcPr>
          <w:p w14:paraId="00000021">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Felix Heinsius</w:t>
            </w:r>
          </w:p>
        </w:tc>
      </w:tr>
      <w:tr>
        <w:trPr>
          <w:cantSplit w:val="1"/>
          <w:tblHeader w:val="0"/>
        </w:trPr>
        <w:tc>
          <w:tcPr>
            <w:shd w:fill="cfe2f3" w:val="clear"/>
            <w:tcMar>
              <w:top w:w="110.0" w:type="dxa"/>
              <w:left w:w="120.0" w:type="dxa"/>
              <w:bottom w:w="110.0" w:type="dxa"/>
              <w:right w:w="120.0" w:type="dxa"/>
            </w:tcMar>
            <w:vAlign w:val="center"/>
          </w:tcPr>
          <w:p w14:paraId="00000022">
            <w:pPr>
              <w:spacing w:after="25" w:before="20" w:line="285" w:lineRule="auto"/>
              <w:rPr>
                <w:rFonts w:ascii="Helvetica Neue" w:cs="Helvetica Neue" w:eastAsia="Helvetica Neue" w:hAnsi="Helvetica Neue"/>
                <w:color w:val="000000"/>
              </w:rPr>
            </w:pPr>
            <w:r>
              <w:rPr>
                <w:rFonts w:ascii="Helvetica Neue" w:cs="Helvetica Neue" w:eastAsia="Helvetica Neue" w:hAnsi="Helvetica Neue"/>
                <w:b w:val="1"/>
                <w:bCs w:val="1"/>
                <w:color w:val="000000"/>
                <w:rtl w:val="0"/>
              </w:rPr>
              <w:t>Unterlagen</w:t>
            </w:r>
          </w:p>
        </w:tc>
        <w:tc>
          <w:tcPr>
            <w:tcBorders>
              <w:top w:color="ffffff" w:space="0" w:sz="8" w:val="single"/>
              <w:bottom w:color="ffffff" w:space="0" w:sz="8" w:val="single"/>
              <w:right w:color="ffffff" w:space="0" w:sz="8" w:val="single"/>
            </w:tcBorders>
            <w:shd w:fill="f6f9fc" w:val="clear"/>
            <w:tcMar>
              <w:top w:w="110.0" w:type="dxa"/>
              <w:left w:w="120.0" w:type="dxa"/>
              <w:bottom w:w="110.0" w:type="dxa"/>
              <w:right w:w="120.0" w:type="dxa"/>
            </w:tcMar>
            <w:vAlign w:val="center"/>
          </w:tcPr>
          <w:p w14:paraId="00000023">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MOBIS_Einleitung, Konzept, EPK und Zeitplan 2026</w:t>
            </w:r>
          </w:p>
        </w:tc>
      </w:tr>
      <w:tr>
        <w:trPr>
          <w:cantSplit w:val="1"/>
          <w:tblHeader w:val="0"/>
        </w:trPr>
        <w:tc>
          <w:tcPr>
            <w:shd w:fill="cfe2f3" w:val="clear"/>
            <w:tcMar>
              <w:top w:w="110.0" w:type="dxa"/>
              <w:left w:w="120.0" w:type="dxa"/>
              <w:bottom w:w="110.0" w:type="dxa"/>
              <w:right w:w="120.0" w:type="dxa"/>
            </w:tcMar>
            <w:vAlign w:val="center"/>
          </w:tcPr>
          <w:p w14:paraId="00000024">
            <w:pPr>
              <w:spacing w:after="25" w:before="20" w:line="285" w:lineRule="auto"/>
              <w:rPr>
                <w:rFonts w:ascii="Helvetica Neue" w:cs="Helvetica Neue" w:eastAsia="Helvetica Neue" w:hAnsi="Helvetica Neue"/>
                <w:color w:val="000000"/>
              </w:rPr>
            </w:pPr>
            <w:r>
              <w:rPr>
                <w:rFonts w:ascii="Helvetica Neue" w:cs="Helvetica Neue" w:eastAsia="Helvetica Neue" w:hAnsi="Helvetica Neue"/>
                <w:b w:val="1"/>
                <w:bCs w:val="1"/>
                <w:color w:val="000000"/>
                <w:rtl w:val="0"/>
              </w:rPr>
              <w:t>Rahmen</w:t>
            </w:r>
          </w:p>
        </w:tc>
        <w:tc>
          <w:tcPr>
            <w:tcBorders>
              <w:top w:color="ffffff" w:space="0" w:sz="8" w:val="single"/>
              <w:bottom w:color="ffffff" w:space="0" w:sz="8" w:val="single"/>
              <w:right w:color="ffffff" w:space="0" w:sz="8" w:val="single"/>
            </w:tcBorders>
            <w:shd w:fill="f6f9fc" w:val="clear"/>
            <w:tcMar>
              <w:top w:w="110.0" w:type="dxa"/>
              <w:left w:w="120.0" w:type="dxa"/>
              <w:bottom w:w="110.0" w:type="dxa"/>
              <w:right w:w="120.0" w:type="dxa"/>
            </w:tcMar>
            <w:vAlign w:val="center"/>
          </w:tcPr>
          <w:p w14:paraId="00000025">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8 Wochen: Inhalte, Übungen, Prüfung und wichtige Termine</w:t>
            </w:r>
          </w:p>
        </w:tc>
      </w:tr>
    </w:tbl>
    <w:p>
      <w:pPr>
        <w:pStyle w:val="Heading1"/>
        <w:keepNext/>
        <w:pageBreakBefore w:val="0"/>
      </w:pPr>
      <w:r>
        <w:rPr>
          <w:rFonts w:ascii="Helvetica Neue" w:hAnsi="Helvetica Neue"/>
          <w:color w:val="082A4A"/>
        </w:rPr>
        <w:t>1.  Kurzüberblick</w:t>
      </w:r>
    </w:p>
    <w:p>
      <w:pPr>
        <w:keepLines w:val="0"/>
        <w:spacing w:before="0" w:after="110" w:line="300" w:lineRule="auto"/>
        <w:jc w:val="both"/>
      </w:pPr>
      <w:r>
        <w:rPr>
          <w:rFonts w:ascii="Helvetica Neue" w:hAnsi="Helvetica Neue"/>
          <w:color w:val="233447"/>
          <w:sz w:val="21"/>
        </w:rPr>
        <w:t>Dieser Lehrplan übersetzt die bereitgestellten MOBIS-Unterlagen in einen persönlichen Lernweg für acht Wochen. Das offizielle Modulziel lautet, wesentliche Modellierungssprachen der Prozess-, Daten- und Softwaremodellierung kennenzulernen, einzuordnen und anwenden zu können. Der Plan verbindet deshalb Begriffswissen, Modellwahl, praktische Modellierung, Syntaxprüfung und Erklären unter Zeitdruck.</w:t>
      </w:r>
    </w:p>
    <w:p>
      <w:pPr>
        <w:keepLines w:val="0"/>
        <w:spacing w:before="0" w:after="110" w:line="300" w:lineRule="auto"/>
        <w:jc w:val="both"/>
      </w:pPr>
      <w:r>
        <w:rPr>
          <w:rFonts w:ascii="Helvetica Neue" w:hAnsi="Helvetica Neue"/>
          <w:color w:val="233447"/>
          <w:sz w:val="21"/>
        </w:rPr>
        <w:t>Gesicherter Modulrahmen: Pflichtmodul, Deutsch, 48 Stunden und 6 Credits. Die Übungsaufgabe trägt 100 Prozent der Modulnote (Kursinformation 04.08.2026); sie umfasst Aufgabe, Musterlösung und Betreuung in einer 2-3er-Gruppe. Separat kann eine vollständige Projektmodellierung in Woche 7-8 0,3 Notenpunkte Bonus bringen. Termin und Bewertungsrubrik sind offen.</w:t>
      </w:r>
    </w:p>
    <w:p>
      <w:pPr>
        <w:keepLines w:val="0"/>
        <w:spacing w:before="0" w:after="110" w:line="300" w:lineRule="auto"/>
        <w:jc w:val="both"/>
      </w:pPr>
      <w:r>
        <w:rPr>
          <w:rFonts w:ascii="Helvetica Neue" w:hAnsi="Helvetica Neue"/>
          <w:b/>
          <w:color w:val="082A4A"/>
          <w:sz w:val="21"/>
        </w:rPr>
        <w:t xml:space="preserve">So benutzt du den Plan: </w:t>
      </w:r>
      <w:r>
        <w:rPr>
          <w:rFonts w:ascii="Helvetica Neue" w:hAnsi="Helvetica Neue"/>
          <w:color w:val="233447"/>
          <w:sz w:val="21"/>
        </w:rPr>
        <w:t>Vor jeder Mittwochsveranstaltung bereitest du die Begriffe und Erkennungsmerkmale vor. Innerhalb von 24 Stunden modellierst du einen Fall ohne Vorlage nach, prüfst ihn mit einer Syntax-Checkliste und erklärst deine Entscheidungen laut. Offene Kursangaben werden nicht geraten, sondern im Ereignisradar geführt.</w:t>
      </w:r>
    </w:p>
    <w:p>
      <w:pPr>
        <w:keepLines w:val="0"/>
        <w:spacing w:before="0" w:after="110" w:line="300" w:lineRule="auto"/>
        <w:jc w:val="both"/>
      </w:pPr>
      <w:r>
        <w:rPr>
          <w:rFonts w:ascii="Helvetica Neue" w:hAnsi="Helvetica Neue"/>
          <w:b/>
          <w:color w:val="082A4A"/>
          <w:sz w:val="21"/>
        </w:rPr>
        <w:t xml:space="preserve">Statuslogik: </w:t>
      </w:r>
      <w:r>
        <w:rPr>
          <w:rFonts w:ascii="Helvetica Neue" w:hAnsi="Helvetica Neue"/>
          <w:color w:val="233447"/>
          <w:sz w:val="21"/>
        </w:rPr>
        <w:t>Bestätigt = wörtlich oder eindeutig in Kursdateien belegt; abgeleitet = aus Wochenüberschrift und Reihenfolge geschlossen; offen = in den Unterlagen nicht festgelegt oder widersprüchlich.</w:t>
      </w:r>
    </w:p>
    <w:p>
      <w:pPr>
        <w:pStyle w:val="Heading1"/>
        <w:keepNext/>
        <w:pageBreakBefore w:val="0"/>
      </w:pPr>
      <w:r>
        <w:rPr>
          <w:rFonts w:ascii="Helvetica Neue" w:hAnsi="Helvetica Neue"/>
          <w:color w:val="082A4A"/>
        </w:rPr>
        <w:t>2.  Lernziele und Abgrenzungen</w:t>
      </w:r>
    </w:p>
    <w:tbl>
      <w:tblPr>
        <w:tblStyle w:val="Table3"/>
        <w:tblW w:w="10224.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00"/>
      </w:tblPr>
      <w:tblGrid>
        <w:gridCol w:w="5112"/>
        <w:gridCol w:w="5112"/>
        <w:tblGridChange w:id="0">
          <w:tblGrid>
            <w:gridCol w:w="5112"/>
            <w:gridCol w:w="5112"/>
          </w:tblGrid>
        </w:tblGridChange>
      </w:tblGrid>
      <w:tr>
        <w:trPr>
          <w:cantSplit w:val="1"/>
          <w:tblHeader w:val="1"/>
        </w:trPr>
        <w:tc>
          <w:tcPr>
            <w:tcBorders>
              <w:top w:color="ffffff" w:space="0" w:sz="6" w:val="single"/>
              <w:left w:color="ffffff" w:space="0" w:sz="6" w:val="single"/>
              <w:bottom w:color="ffffff" w:space="0" w:sz="6" w:val="single"/>
              <w:right w:color="ffffff" w:space="0" w:sz="6" w:val="single"/>
            </w:tcBorders>
            <w:shd w:fill="082a4a" w:val="clear"/>
            <w:tcMar>
              <w:top w:w="110.0" w:type="dxa"/>
              <w:left w:w="120.0" w:type="dxa"/>
              <w:bottom w:w="110.0" w:type="dxa"/>
              <w:right w:w="120.0" w:type="dxa"/>
            </w:tcMar>
            <w:vAlign w:val="center"/>
          </w:tcPr>
          <w:p w14:paraId="0000002B">
            <w:pPr>
              <w:spacing w:after="0" w:before="20" w:line="265" w:lineRule="auto"/>
              <w:rPr>
                <w:rFonts w:ascii="Helvetica Neue" w:cs="Helvetica Neue" w:eastAsia="Helvetica Neue" w:hAnsi="Helvetica Neue"/>
              </w:rPr>
            </w:pPr>
            <w:r>
              <w:rPr>
                <w:rFonts w:ascii="Helvetica Neue" w:cs="Helvetica Neue" w:eastAsia="Helvetica Neue" w:hAnsi="Helvetica Neue"/>
                <w:b w:val="1"/>
                <w:bCs w:val="1"/>
                <w:color w:val="ffffff"/>
                <w:rtl w:val="0"/>
              </w:rPr>
              <w:t>Lernziele</w:t>
            </w:r>
          </w:p>
        </w:tc>
        <w:tc>
          <w:tcPr>
            <w:tcBorders>
              <w:top w:color="ffffff" w:space="0" w:sz="6" w:val="single"/>
              <w:left w:color="ffffff" w:space="0" w:sz="6" w:val="single"/>
              <w:bottom w:color="ffffff" w:space="0" w:sz="6" w:val="single"/>
              <w:right w:color="ffffff" w:space="0" w:sz="6" w:val="single"/>
            </w:tcBorders>
            <w:shd w:fill="082a4a" w:val="clear"/>
            <w:tcMar>
              <w:top w:w="110.0" w:type="dxa"/>
              <w:left w:w="120.0" w:type="dxa"/>
              <w:bottom w:w="110.0" w:type="dxa"/>
              <w:right w:w="120.0" w:type="dxa"/>
            </w:tcMar>
            <w:vAlign w:val="center"/>
          </w:tcPr>
          <w:p w14:paraId="0000002C">
            <w:pPr>
              <w:spacing w:after="0" w:before="20" w:line="265" w:lineRule="auto"/>
              <w:rPr>
                <w:rFonts w:ascii="Helvetica Neue" w:cs="Helvetica Neue" w:eastAsia="Helvetica Neue" w:hAnsi="Helvetica Neue"/>
              </w:rPr>
            </w:pPr>
            <w:r>
              <w:rPr>
                <w:rFonts w:ascii="Helvetica Neue" w:cs="Helvetica Neue" w:eastAsia="Helvetica Neue" w:hAnsi="Helvetica Neue"/>
                <w:b w:val="1"/>
                <w:bCs w:val="1"/>
                <w:color w:val="ffffff"/>
                <w:rtl w:val="0"/>
              </w:rPr>
              <w:t>Bewusste Abgrenzungen</w:t>
            </w:r>
          </w:p>
        </w:tc>
      </w:tr>
      <w:tr>
        <w:trPr>
          <w:cantSplit w:val="1"/>
          <w:tblHeader w:val="0"/>
        </w:trPr>
        <w:tc>
          <w:tcPr>
            <w:tcBorders>
              <w:top w:color="ffffff" w:space="0" w:sz="6" w:val="single"/>
              <w:left w:color="ffffff" w:space="0" w:sz="6" w:val="single"/>
              <w:bottom w:color="ffffff" w:space="0" w:sz="6" w:val="single"/>
              <w:right w:color="ffffff" w:space="0" w:sz="6" w:val="single"/>
            </w:tcBorders>
            <w:shd w:fill="e6f0f8" w:val="clear"/>
            <w:tcMar>
              <w:top w:w="110.0" w:type="dxa"/>
              <w:left w:w="120.0" w:type="dxa"/>
              <w:bottom w:w="110.0" w:type="dxa"/>
              <w:right w:w="120.0" w:type="dxa"/>
            </w:tcMar>
            <w:vAlign w:val="center"/>
          </w:tcPr>
          <w:p w14:paraId="0000002D">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Informationssystem, Modell, Informationsmodell und Modellierungssprache sicher erklären.</w:t>
            </w:r>
          </w:p>
        </w:tc>
        <w:tc>
          <w:tcPr>
            <w:tcBorders>
              <w:top w:color="ffffff" w:space="0" w:sz="6" w:val="single"/>
              <w:left w:color="ffffff" w:space="0" w:sz="6" w:val="single"/>
              <w:bottom w:color="ffffff" w:space="0" w:sz="6" w:val="single"/>
              <w:right w:color="ffffff" w:space="0" w:sz="6" w:val="single"/>
            </w:tcBorders>
            <w:shd w:fill="e6f0f8" w:val="clear"/>
            <w:tcMar>
              <w:top w:w="110.0" w:type="dxa"/>
              <w:left w:w="120.0" w:type="dxa"/>
              <w:bottom w:w="110.0" w:type="dxa"/>
              <w:right w:w="120.0" w:type="dxa"/>
            </w:tcMar>
            <w:vAlign w:val="center"/>
          </w:tcPr>
          <w:p w14:paraId="0000002E">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Der Plan ersetzt keine noch fehlenden Dozentenfolien zu BPMN, Petri-Netzen, ERM oder UML.</w:t>
            </w:r>
          </w:p>
        </w:tc>
      </w:tr>
      <w:tr>
        <w:trPr>
          <w:cantSplit w:val="1"/>
          <w:tblHeader w:val="0"/>
        </w:trPr>
        <w:tc>
          <w:tcPr>
            <w:tcBorders>
              <w:top w:color="ffffff" w:space="0" w:sz="6" w:val="single"/>
              <w:left w:color="ffffff" w:space="0" w:sz="6" w:val="single"/>
              <w:bottom w:color="ffffff" w:space="0" w:sz="6" w:val="single"/>
              <w:right w:color="ffffff" w:space="0" w:sz="6" w:val="single"/>
            </w:tcBorders>
            <w:shd w:fill="f6f9fc" w:val="clear"/>
            <w:tcMar>
              <w:top w:w="110.0" w:type="dxa"/>
              <w:left w:w="120.0" w:type="dxa"/>
              <w:bottom w:w="110.0" w:type="dxa"/>
              <w:right w:w="120.0" w:type="dxa"/>
            </w:tcMar>
            <w:vAlign w:val="center"/>
          </w:tcPr>
          <w:p w14:paraId="0000002F">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Für eine Fragestellung die passende ARIS-Sicht, Abstraktionsebene und Notation auswählen.</w:t>
            </w:r>
          </w:p>
        </w:tc>
        <w:tc>
          <w:tcPr>
            <w:tcBorders>
              <w:top w:color="ffffff" w:space="0" w:sz="6" w:val="single"/>
              <w:left w:color="ffffff" w:space="0" w:sz="6" w:val="single"/>
              <w:bottom w:color="ffffff" w:space="0" w:sz="6" w:val="single"/>
              <w:right w:color="ffffff" w:space="0" w:sz="6" w:val="single"/>
            </w:tcBorders>
            <w:shd w:fill="f6f9fc" w:val="clear"/>
            <w:tcMar>
              <w:top w:w="110.0" w:type="dxa"/>
              <w:left w:w="120.0" w:type="dxa"/>
              <w:bottom w:w="110.0" w:type="dxa"/>
              <w:right w:w="120.0" w:type="dxa"/>
            </w:tcMar>
            <w:vAlign w:val="center"/>
          </w:tcPr>
          <w:p w14:paraId="00000030">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Organigramme gehören laut Konzept zur Organisationssicht, werden im Modul aber ausdrücklich nicht behandelt.</w:t>
            </w:r>
          </w:p>
        </w:tc>
      </w:tr>
      <w:tr>
        <w:trPr>
          <w:cantSplit w:val="1"/>
          <w:tblHeader w:val="0"/>
        </w:trPr>
        <w:tc>
          <w:tcPr>
            <w:tcBorders>
              <w:top w:color="ffffff" w:space="0" w:sz="6" w:val="single"/>
              <w:left w:color="ffffff" w:space="0" w:sz="6" w:val="single"/>
              <w:bottom w:color="ffffff" w:space="0" w:sz="6" w:val="single"/>
              <w:right w:color="ffffff" w:space="0" w:sz="6" w:val="single"/>
            </w:tcBorders>
            <w:shd w:fill="e6f0f8" w:val="clear"/>
            <w:tcMar>
              <w:top w:w="110.0" w:type="dxa"/>
              <w:left w:w="120.0" w:type="dxa"/>
              <w:bottom w:w="110.0" w:type="dxa"/>
              <w:right w:w="120.0" w:type="dxa"/>
            </w:tcMar>
            <w:vAlign w:val="center"/>
          </w:tcPr>
          <w:p w14:paraId="00000031">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EPK/eEPK und die weiteren behandelten Diagrammarten syntaktisch korrekt aus Textfällen entwickeln.</w:t>
            </w:r>
          </w:p>
        </w:tc>
        <w:tc>
          <w:tcPr>
            <w:tcBorders>
              <w:top w:color="ffffff" w:space="0" w:sz="6" w:val="single"/>
              <w:left w:color="ffffff" w:space="0" w:sz="6" w:val="single"/>
              <w:bottom w:color="ffffff" w:space="0" w:sz="6" w:val="single"/>
              <w:right w:color="ffffff" w:space="0" w:sz="6" w:val="single"/>
            </w:tcBorders>
            <w:shd w:fill="e6f0f8" w:val="clear"/>
            <w:tcMar>
              <w:top w:w="110.0" w:type="dxa"/>
              <w:left w:w="120.0" w:type="dxa"/>
              <w:bottom w:w="110.0" w:type="dxa"/>
              <w:right w:w="120.0" w:type="dxa"/>
            </w:tcMar>
            <w:vAlign w:val="center"/>
          </w:tcPr>
          <w:p w14:paraId="00000032">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Bewertungsrubrik, Hilfsmittel, Anwesenheitsregeln und Abgabefrist werden nicht erfunden.</w:t>
            </w:r>
          </w:p>
        </w:tc>
      </w:tr>
      <w:tr>
        <w:trPr>
          <w:cantSplit w:val="1"/>
          <w:tblHeader w:val="0"/>
        </w:trPr>
        <w:tc>
          <w:tcPr>
            <w:tcBorders>
              <w:top w:color="ffffff" w:space="0" w:sz="6" w:val="single"/>
              <w:left w:color="ffffff" w:space="0" w:sz="6" w:val="single"/>
              <w:bottom w:color="ffffff" w:space="0" w:sz="6" w:val="single"/>
              <w:right w:color="ffffff" w:space="0" w:sz="6" w:val="single"/>
            </w:tcBorders>
            <w:shd w:fill="f6f9fc" w:val="clear"/>
            <w:tcMar>
              <w:top w:w="110.0" w:type="dxa"/>
              <w:left w:w="120.0" w:type="dxa"/>
              <w:bottom w:w="110.0" w:type="dxa"/>
              <w:right w:w="120.0" w:type="dxa"/>
            </w:tcMar>
            <w:vAlign w:val="center"/>
          </w:tcPr>
          <w:p w14:paraId="00000033">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Modelle eines Projekts konsistent verbinden, begründen und in einer Gruppe verständlich vermitteln.</w:t>
            </w:r>
          </w:p>
        </w:tc>
        <w:tc>
          <w:tcPr>
            <w:tcBorders>
              <w:top w:color="ffffff" w:space="0" w:sz="6" w:val="single"/>
              <w:left w:color="ffffff" w:space="0" w:sz="6" w:val="single"/>
              <w:bottom w:color="ffffff" w:space="0" w:sz="6" w:val="single"/>
              <w:right w:color="ffffff" w:space="0" w:sz="6" w:val="single"/>
            </w:tcBorders>
            <w:shd w:fill="f6f9fc" w:val="clear"/>
            <w:tcMar>
              <w:top w:w="110.0" w:type="dxa"/>
              <w:left w:w="120.0" w:type="dxa"/>
              <w:bottom w:w="110.0" w:type="dxa"/>
              <w:right w:w="120.0" w:type="dxa"/>
            </w:tcMar>
            <w:vAlign w:val="center"/>
          </w:tcPr>
          <w:p w14:paraId="00000034">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Aus der Themenverteilung wird keine persönliche Themenzuordnung für Felix abgeleitet.</w:t>
            </w:r>
          </w:p>
        </w:tc>
      </w:tr>
    </w:tbl>
    <w:p>
      <w:pPr>
        <w:spacing w:after="60"/>
      </w:pPr>
    </w:p>
    <w:p>
      <w:pPr>
        <w:pStyle w:val="Heading1"/>
        <w:keepNext/>
        <w:pageBreakBefore w:val="0"/>
      </w:pPr>
      <w:r>
        <w:rPr>
          <w:rFonts w:ascii="Helvetica Neue" w:hAnsi="Helvetica Neue"/>
          <w:color w:val="082A4A"/>
        </w:rPr>
        <w:t>3.  Ausgangslage und Prüfungslogik</w:t>
      </w:r>
    </w:p>
    <w:p>
      <w:pPr>
        <w:keepLines w:val="0"/>
        <w:spacing w:before="0" w:after="110" w:line="300" w:lineRule="auto"/>
        <w:jc w:val="both"/>
      </w:pPr>
      <w:r>
        <w:rPr>
          <w:rFonts w:ascii="Helvetica Neue" w:hAnsi="Helvetica Neue"/>
          <w:color w:val="233447"/>
          <w:sz w:val="21"/>
        </w:rPr>
        <w:t>Die Lehre folgt einem Werkzeugkasten aus neun Themen: EPK, BPMN, Petri-Netze, ERM, UML-Überblick, UML Use Case, UML-Aktivitätsdiagramm, UML-Klassendiagramm und UML-Sequenzdiagramm. Grundlagen und EPK sind fachlich detailliert belegt; zu den übrigen Themen liegen bisher nur Themen- und Zeitplan vor. Die kompakten Kernerklärungen in diesem Dokument sind deshalb als Tutoren-Ergänzung markiert und später mit den jeweiligen Dozentenunterlagen abzugleichen.</w:t>
      </w:r>
    </w:p>
    <w:tbl>
      <w:tblPr>
        <w:tblStyle w:val="Table6"/>
        <w:tblW w:w="10440.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00"/>
      </w:tblPr>
      <w:tblGrid>
        <w:gridCol w:w="3337"/>
        <w:gridCol w:w="3722"/>
        <w:gridCol w:w="3381"/>
        <w:tblGridChange w:id="0">
          <w:tblGrid>
            <w:gridCol w:w="3337"/>
            <w:gridCol w:w="3722"/>
            <w:gridCol w:w="3381"/>
          </w:tblGrid>
        </w:tblGridChange>
      </w:tblGrid>
      <w:tr>
        <w:trPr>
          <w:cantSplit w:val="1"/>
          <w:tblHeader w:val="1"/>
        </w:trPr>
        <w:tc>
          <w:tcPr>
            <w:tcBorders>
              <w:top w:color="ffffff" w:space="0" w:sz="6" w:val="single"/>
              <w:left w:color="ffffff" w:space="0" w:sz="6" w:val="single"/>
              <w:bottom w:color="ffffff" w:space="0" w:sz="6" w:val="single"/>
              <w:right w:color="ffffff" w:space="0" w:sz="6" w:val="single"/>
            </w:tcBorders>
            <w:shd w:fill="082a4a" w:val="clear"/>
            <w:tcMar>
              <w:top w:w="110.0" w:type="dxa"/>
              <w:left w:w="120.0" w:type="dxa"/>
              <w:bottom w:w="110.0" w:type="dxa"/>
              <w:right w:w="120.0" w:type="dxa"/>
            </w:tcMar>
            <w:vAlign w:val="center"/>
          </w:tcPr>
          <w:p w14:paraId="00000093">
            <w:pPr>
              <w:spacing w:after="0" w:before="20" w:line="265" w:lineRule="auto"/>
              <w:rPr>
                <w:rFonts w:ascii="Helvetica Neue" w:cs="Helvetica Neue" w:eastAsia="Helvetica Neue" w:hAnsi="Helvetica Neue"/>
              </w:rPr>
            </w:pPr>
            <w:r>
              <w:rPr>
                <w:rFonts w:ascii="Helvetica Neue" w:cs="Helvetica Neue" w:eastAsia="Helvetica Neue" w:hAnsi="Helvetica Neue"/>
                <w:b w:val="1"/>
                <w:bCs w:val="1"/>
                <w:color w:val="ffffff"/>
                <w:rtl w:val="0"/>
              </w:rPr>
              <w:t>Status</w:t>
            </w:r>
          </w:p>
        </w:tc>
        <w:tc>
          <w:tcPr>
            <w:tcBorders>
              <w:top w:color="ffffff" w:space="0" w:sz="6" w:val="single"/>
              <w:left w:color="ffffff" w:space="0" w:sz="6" w:val="single"/>
              <w:bottom w:color="ffffff" w:space="0" w:sz="6" w:val="single"/>
              <w:right w:color="ffffff" w:space="0" w:sz="6" w:val="single"/>
            </w:tcBorders>
            <w:shd w:fill="082a4a" w:val="clear"/>
            <w:tcMar>
              <w:top w:w="110.0" w:type="dxa"/>
              <w:left w:w="120.0" w:type="dxa"/>
              <w:bottom w:w="110.0" w:type="dxa"/>
              <w:right w:w="120.0" w:type="dxa"/>
            </w:tcMar>
            <w:vAlign w:val="center"/>
          </w:tcPr>
          <w:p w14:paraId="00000094">
            <w:pPr>
              <w:spacing w:after="0" w:before="20" w:line="265" w:lineRule="auto"/>
              <w:rPr>
                <w:rFonts w:ascii="Helvetica Neue" w:cs="Helvetica Neue" w:eastAsia="Helvetica Neue" w:hAnsi="Helvetica Neue"/>
              </w:rPr>
            </w:pPr>
            <w:r>
              <w:rPr>
                <w:rFonts w:ascii="Helvetica Neue" w:cs="Helvetica Neue" w:eastAsia="Helvetica Neue" w:hAnsi="Helvetica Neue"/>
                <w:b w:val="1"/>
                <w:bCs w:val="1"/>
                <w:color w:val="ffffff"/>
                <w:rtl w:val="0"/>
              </w:rPr>
              <w:t>Belegter Befund</w:t>
            </w:r>
          </w:p>
        </w:tc>
        <w:tc>
          <w:tcPr>
            <w:tcBorders>
              <w:top w:color="ffffff" w:space="0" w:sz="6" w:val="single"/>
              <w:left w:color="ffffff" w:space="0" w:sz="6" w:val="single"/>
              <w:bottom w:color="ffffff" w:space="0" w:sz="6" w:val="single"/>
              <w:right w:color="ffffff" w:space="0" w:sz="6" w:val="single"/>
            </w:tcBorders>
            <w:shd w:fill="082a4a" w:val="clear"/>
            <w:tcMar>
              <w:top w:w="110.0" w:type="dxa"/>
              <w:left w:w="120.0" w:type="dxa"/>
              <w:bottom w:w="110.0" w:type="dxa"/>
              <w:right w:w="120.0" w:type="dxa"/>
            </w:tcMar>
            <w:vAlign w:val="center"/>
          </w:tcPr>
          <w:p w14:paraId="00000095">
            <w:pPr>
              <w:spacing w:after="0" w:before="20" w:line="265" w:lineRule="auto"/>
              <w:rPr>
                <w:rFonts w:ascii="Helvetica Neue" w:cs="Helvetica Neue" w:eastAsia="Helvetica Neue" w:hAnsi="Helvetica Neue"/>
              </w:rPr>
            </w:pPr>
            <w:r>
              <w:rPr>
                <w:rFonts w:ascii="Helvetica Neue" w:cs="Helvetica Neue" w:eastAsia="Helvetica Neue" w:hAnsi="Helvetica Neue"/>
                <w:b w:val="1"/>
                <w:bCs w:val="1"/>
                <w:color w:val="ffffff"/>
                <w:rtl w:val="0"/>
              </w:rPr>
              <w:t>Konsequenz für dich</w:t>
            </w:r>
          </w:p>
        </w:tc>
      </w:tr>
      <w:tr>
        <w:trPr>
          <w:cantSplit w:val="1"/>
          <w:tblHeader w:val="0"/>
        </w:trPr>
        <w:tc>
          <w:tcPr>
            <w:tcBorders>
              <w:top w:color="ffffff" w:space="0" w:sz="6" w:val="single"/>
              <w:left w:color="ffffff" w:space="0" w:sz="6" w:val="single"/>
              <w:bottom w:color="ffffff" w:space="0" w:sz="6" w:val="single"/>
              <w:right w:color="ffffff" w:space="0" w:sz="6" w:val="single"/>
            </w:tcBorders>
            <w:shd w:fill="e6f0f8" w:val="clear"/>
            <w:tcMar>
              <w:top w:w="110.0" w:type="dxa"/>
              <w:left w:w="120.0" w:type="dxa"/>
              <w:bottom w:w="110.0" w:type="dxa"/>
              <w:right w:w="120.0" w:type="dxa"/>
            </w:tcMar>
            <w:vAlign w:val="center"/>
          </w:tcPr>
          <w:p w14:paraId="00000096">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Bestätigt</w:t>
            </w:r>
          </w:p>
        </w:tc>
        <w:tc>
          <w:tcPr>
            <w:tcBorders>
              <w:top w:color="ffffff" w:space="0" w:sz="6" w:val="single"/>
              <w:left w:color="ffffff" w:space="0" w:sz="6" w:val="single"/>
              <w:bottom w:color="ffffff" w:space="0" w:sz="6" w:val="single"/>
              <w:right w:color="ffffff" w:space="0" w:sz="6" w:val="single"/>
            </w:tcBorders>
            <w:shd w:fill="ffffff" w:val="clear"/>
            <w:tcMar>
              <w:top w:w="110.0" w:type="dxa"/>
              <w:left w:w="120.0" w:type="dxa"/>
              <w:bottom w:w="110.0" w:type="dxa"/>
              <w:right w:w="120.0" w:type="dxa"/>
            </w:tcMar>
            <w:vAlign w:val="center"/>
          </w:tcPr>
          <w:p w14:paraId="00000097">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Übungsaufgabe 100 Prozent der Modulnote (Kursinformation 04.08.2026); Gruppe mit 2-3 Studierenden; Musterlösung und Betreuung.</w:t>
            </w:r>
          </w:p>
        </w:tc>
        <w:tc>
          <w:tcPr>
            <w:tcBorders>
              <w:top w:color="ffffff" w:space="0" w:sz="6" w:val="single"/>
              <w:left w:color="ffffff" w:space="0" w:sz="6" w:val="single"/>
              <w:bottom w:color="ffffff" w:space="0" w:sz="6" w:val="single"/>
              <w:right w:color="ffffff" w:space="0" w:sz="6" w:val="single"/>
            </w:tcBorders>
            <w:shd w:fill="ffffff" w:val="clear"/>
            <w:tcMar>
              <w:top w:w="110.0" w:type="dxa"/>
              <w:left w:w="120.0" w:type="dxa"/>
              <w:bottom w:w="110.0" w:type="dxa"/>
              <w:right w:w="120.0" w:type="dxa"/>
            </w:tcMar>
            <w:vAlign w:val="center"/>
          </w:tcPr>
          <w:p w14:paraId="00000098">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Früh Gruppe und Thema klären; Übung nicht nur lösen, sondern moderieren können.</w:t>
            </w:r>
          </w:p>
        </w:tc>
      </w:tr>
      <w:tr>
        <w:trPr>
          <w:cantSplit w:val="1"/>
          <w:tblHeader w:val="0"/>
        </w:trPr>
        <w:tc>
          <w:tcPr>
            <w:tcBorders>
              <w:top w:color="ffffff" w:space="0" w:sz="6" w:val="single"/>
              <w:left w:color="ffffff" w:space="0" w:sz="6" w:val="single"/>
              <w:bottom w:color="ffffff" w:space="0" w:sz="6" w:val="single"/>
              <w:right w:color="ffffff" w:space="0" w:sz="6" w:val="single"/>
            </w:tcBorders>
            <w:shd w:fill="e6f0f8" w:val="clear"/>
            <w:tcMar>
              <w:top w:w="110.0" w:type="dxa"/>
              <w:left w:w="120.0" w:type="dxa"/>
              <w:bottom w:w="110.0" w:type="dxa"/>
              <w:right w:w="120.0" w:type="dxa"/>
            </w:tcMar>
            <w:vAlign w:val="center"/>
          </w:tcPr>
          <w:p w14:paraId="00000099">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Bestätigt</w:t>
            </w:r>
          </w:p>
        </w:tc>
        <w:tc>
          <w:tcPr>
            <w:tcBorders>
              <w:top w:color="ffffff" w:space="0" w:sz="6" w:val="single"/>
              <w:left w:color="ffffff" w:space="0" w:sz="6" w:val="single"/>
              <w:bottom w:color="ffffff" w:space="0" w:sz="6" w:val="single"/>
              <w:right w:color="ffffff" w:space="0" w:sz="6" w:val="single"/>
            </w:tcBorders>
            <w:shd w:fill="f6f9fc" w:val="clear"/>
            <w:tcMar>
              <w:top w:w="110.0" w:type="dxa"/>
              <w:left w:w="120.0" w:type="dxa"/>
              <w:bottom w:w="110.0" w:type="dxa"/>
              <w:right w:w="120.0" w:type="dxa"/>
            </w:tcMar>
            <w:vAlign w:val="center"/>
          </w:tcPr>
          <w:p w14:paraId="0000009A">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Projektarbeit in Woche 7-8; vollständige Modellierung ermöglicht 0,3 Notenpunkte Bonus.</w:t>
            </w:r>
          </w:p>
        </w:tc>
        <w:tc>
          <w:tcPr>
            <w:tcBorders>
              <w:top w:color="ffffff" w:space="0" w:sz="6" w:val="single"/>
              <w:left w:color="ffffff" w:space="0" w:sz="6" w:val="single"/>
              <w:bottom w:color="ffffff" w:space="0" w:sz="6" w:val="single"/>
              <w:right w:color="ffffff" w:space="0" w:sz="6" w:val="single"/>
            </w:tcBorders>
            <w:shd w:fill="f6f9fc" w:val="clear"/>
            <w:tcMar>
              <w:top w:w="110.0" w:type="dxa"/>
              <w:left w:w="120.0" w:type="dxa"/>
              <w:bottom w:w="110.0" w:type="dxa"/>
              <w:right w:w="120.0" w:type="dxa"/>
            </w:tcMar>
            <w:vAlign w:val="center"/>
          </w:tcPr>
          <w:p w14:paraId="0000009B">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Ab Woche 4 eine gemeinsame Begriffsliste und Konsistenzregeln für alle Modelle führen.</w:t>
            </w:r>
          </w:p>
        </w:tc>
      </w:tr>
      <w:tr>
        <w:trPr>
          <w:cantSplit w:val="1"/>
          <w:tblHeader w:val="0"/>
        </w:trPr>
        <w:tc>
          <w:tcPr>
            <w:tcBorders>
              <w:top w:color="ffffff" w:space="0" w:sz="6" w:val="single"/>
              <w:left w:color="ffffff" w:space="0" w:sz="6" w:val="single"/>
              <w:bottom w:color="ffffff" w:space="0" w:sz="6" w:val="single"/>
              <w:right w:color="ffffff" w:space="0" w:sz="6" w:val="single"/>
            </w:tcBorders>
            <w:shd w:fill="e6f0f8" w:val="clear"/>
            <w:tcMar>
              <w:top w:w="110.0" w:type="dxa"/>
              <w:left w:w="120.0" w:type="dxa"/>
              <w:bottom w:w="110.0" w:type="dxa"/>
              <w:right w:w="120.0" w:type="dxa"/>
            </w:tcMar>
            <w:vAlign w:val="center"/>
          </w:tcPr>
          <w:p w14:paraId="0000009C">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Widerspruch</w:t>
            </w:r>
          </w:p>
        </w:tc>
        <w:tc>
          <w:tcPr>
            <w:tcBorders>
              <w:top w:color="ffffff" w:space="0" w:sz="6" w:val="single"/>
              <w:left w:color="ffffff" w:space="0" w:sz="6" w:val="single"/>
              <w:bottom w:color="ffffff" w:space="0" w:sz="6" w:val="single"/>
              <w:right w:color="ffffff" w:space="0" w:sz="6" w:val="single"/>
            </w:tcBorders>
            <w:shd w:fill="ffffff" w:val="clear"/>
            <w:tcMar>
              <w:top w:w="110.0" w:type="dxa"/>
              <w:left w:w="120.0" w:type="dxa"/>
              <w:bottom w:w="110.0" w:type="dxa"/>
              <w:right w:w="120.0" w:type="dxa"/>
            </w:tcMar>
            <w:vAlign w:val="center"/>
          </w:tcPr>
          <w:p w14:paraId="0000009D">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Dateiname enthält BI-2, Tabellenblatt und Überschrift BI-1.</w:t>
            </w:r>
          </w:p>
        </w:tc>
        <w:tc>
          <w:tcPr>
            <w:tcBorders>
              <w:top w:color="ffffff" w:space="0" w:sz="6" w:val="single"/>
              <w:left w:color="ffffff" w:space="0" w:sz="6" w:val="single"/>
              <w:bottom w:color="ffffff" w:space="0" w:sz="6" w:val="single"/>
              <w:right w:color="ffffff" w:space="0" w:sz="6" w:val="single"/>
            </w:tcBorders>
            <w:shd w:fill="ffffff" w:val="clear"/>
            <w:tcMar>
              <w:top w:w="110.0" w:type="dxa"/>
              <w:left w:w="120.0" w:type="dxa"/>
              <w:bottom w:w="110.0" w:type="dxa"/>
              <w:right w:w="120.0" w:type="dxa"/>
            </w:tcMar>
            <w:vAlign w:val="center"/>
          </w:tcPr>
          <w:p w14:paraId="0000009E">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Kurszuordnung am 29.07.2026 bestätigen.</w:t>
            </w:r>
          </w:p>
        </w:tc>
      </w:tr>
      <w:tr>
        <w:trPr>
          <w:cantSplit w:val="1"/>
          <w:tblHeader w:val="0"/>
        </w:trPr>
        <w:tc>
          <w:tcPr>
            <w:tcBorders>
              <w:top w:color="ffffff" w:space="0" w:sz="6" w:val="single"/>
              <w:left w:color="ffffff" w:space="0" w:sz="6" w:val="single"/>
              <w:bottom w:color="ffffff" w:space="0" w:sz="6" w:val="single"/>
              <w:right w:color="ffffff" w:space="0" w:sz="6" w:val="single"/>
            </w:tcBorders>
            <w:shd w:fill="e6f0f8" w:val="clear"/>
            <w:tcMar>
              <w:top w:w="110.0" w:type="dxa"/>
              <w:left w:w="120.0" w:type="dxa"/>
              <w:bottom w:w="110.0" w:type="dxa"/>
              <w:right w:w="120.0" w:type="dxa"/>
            </w:tcMar>
            <w:vAlign w:val="center"/>
          </w:tcPr>
          <w:p w14:paraId="0000009F">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Widerspruch</w:t>
            </w:r>
          </w:p>
        </w:tc>
        <w:tc>
          <w:tcPr>
            <w:tcBorders>
              <w:top w:color="ffffff" w:space="0" w:sz="6" w:val="single"/>
              <w:left w:color="ffffff" w:space="0" w:sz="6" w:val="single"/>
              <w:bottom w:color="ffffff" w:space="0" w:sz="6" w:val="single"/>
              <w:right w:color="ffffff" w:space="0" w:sz="6" w:val="single"/>
            </w:tcBorders>
            <w:shd w:fill="f6f9fc" w:val="clear"/>
            <w:tcMar>
              <w:top w:w="110.0" w:type="dxa"/>
              <w:left w:w="120.0" w:type="dxa"/>
              <w:bottom w:w="110.0" w:type="dxa"/>
              <w:right w:w="120.0" w:type="dxa"/>
            </w:tcMar>
            <w:vAlign w:val="center"/>
          </w:tcPr>
          <w:p w14:paraId="000000A0">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Konzept: Vertiefung Woche 5-7 und ca. 3 x 30 Minuten; Zeitplan: Vertiefung Woche 5-6 und 2 x 45 Minuten.</w:t>
            </w:r>
          </w:p>
        </w:tc>
        <w:tc>
          <w:tcPr>
            <w:tcBorders>
              <w:top w:color="ffffff" w:space="0" w:sz="6" w:val="single"/>
              <w:left w:color="ffffff" w:space="0" w:sz="6" w:val="single"/>
              <w:bottom w:color="ffffff" w:space="0" w:sz="6" w:val="single"/>
              <w:right w:color="ffffff" w:space="0" w:sz="6" w:val="single"/>
            </w:tcBorders>
            <w:shd w:fill="f6f9fc" w:val="clear"/>
            <w:tcMar>
              <w:top w:w="110.0" w:type="dxa"/>
              <w:left w:w="120.0" w:type="dxa"/>
              <w:bottom w:w="110.0" w:type="dxa"/>
              <w:right w:w="120.0" w:type="dxa"/>
            </w:tcMar>
            <w:vAlign w:val="center"/>
          </w:tcPr>
          <w:p w14:paraId="000000A1">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Verbindliche Dauer und W7-Ablauf beim Lehrenden klären.</w:t>
            </w:r>
          </w:p>
        </w:tc>
      </w:tr>
      <w:tr>
        <w:trPr>
          <w:cantSplit w:val="1"/>
          <w:tblHeader w:val="0"/>
        </w:trPr>
        <w:tc>
          <w:tcPr>
            <w:tcBorders>
              <w:top w:color="ffffff" w:space="0" w:sz="6" w:val="single"/>
              <w:left w:color="ffffff" w:space="0" w:sz="6" w:val="single"/>
              <w:bottom w:color="ffffff" w:space="0" w:sz="6" w:val="single"/>
              <w:right w:color="ffffff" w:space="0" w:sz="6" w:val="single"/>
            </w:tcBorders>
            <w:shd w:fill="e6f0f8" w:val="clear"/>
            <w:tcMar>
              <w:top w:w="110.0" w:type="dxa"/>
              <w:left w:w="120.0" w:type="dxa"/>
              <w:bottom w:w="110.0" w:type="dxa"/>
              <w:right w:w="120.0" w:type="dxa"/>
            </w:tcMar>
            <w:vAlign w:val="center"/>
          </w:tcPr>
          <w:p w14:paraId="00000096">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Offen</w:t>
            </w:r>
          </w:p>
        </w:tc>
        <w:tc>
          <w:tcPr>
            <w:tcBorders>
              <w:top w:color="ffffff" w:space="0" w:sz="6" w:val="single"/>
              <w:left w:color="ffffff" w:space="0" w:sz="6" w:val="single"/>
              <w:bottom w:color="ffffff" w:space="0" w:sz="6" w:val="single"/>
              <w:right w:color="ffffff" w:space="0" w:sz="6" w:val="single"/>
            </w:tcBorders>
            <w:shd w:fill="ffffff" w:val="clear"/>
            <w:tcMar>
              <w:top w:w="110.0" w:type="dxa"/>
              <w:left w:w="120.0" w:type="dxa"/>
              <w:bottom w:w="110.0" w:type="dxa"/>
              <w:right w:w="120.0" w:type="dxa"/>
            </w:tcMar>
            <w:vAlign w:val="center"/>
          </w:tcPr>
          <w:p w14:paraId="00000097">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Kein exakter Prüfungs-/Abgabetermin, keine Rubrik, keine Hilfsmittel- oder Anwesenheitsregel.</w:t>
            </w:r>
          </w:p>
        </w:tc>
        <w:tc>
          <w:tcPr>
            <w:tcBorders>
              <w:top w:color="ffffff" w:space="0" w:sz="6" w:val="single"/>
              <w:left w:color="ffffff" w:space="0" w:sz="6" w:val="single"/>
              <w:bottom w:color="ffffff" w:space="0" w:sz="6" w:val="single"/>
              <w:right w:color="ffffff" w:space="0" w:sz="6" w:val="single"/>
            </w:tcBorders>
            <w:shd w:fill="ffffff" w:val="clear"/>
            <w:tcMar>
              <w:top w:w="110.0" w:type="dxa"/>
              <w:left w:w="120.0" w:type="dxa"/>
              <w:bottom w:w="110.0" w:type="dxa"/>
              <w:right w:w="120.0" w:type="dxa"/>
            </w:tcMar>
            <w:vAlign w:val="center"/>
          </w:tcPr>
          <w:p w14:paraId="00000098">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Diese Punkte vor der ersten benoteten Gruppenleistung schriftlich sichern.</w:t>
            </w:r>
          </w:p>
        </w:tc>
      </w:tr>
    </w:tbl>
    <w:p>
      <w:pPr>
        <w:spacing w:after="60"/>
      </w:pPr>
    </w:p>
    <w:p>
      <w:pPr>
        <w:pStyle w:val="Heading1"/>
        <w:keepNext/>
        <w:pageBreakBefore/>
      </w:pPr>
      <w:r>
        <w:rPr>
          <w:rFonts w:ascii="Helvetica Neue" w:hAnsi="Helvetica Neue"/>
          <w:color w:val="082A4A"/>
        </w:rPr>
        <w:t>4.  Lernarchitektur</w:t>
      </w:r>
    </w:p>
    <w:p w14:paraId="0000003B">
      <w:pPr>
        <w:rPr>
          <w:rFonts w:ascii="Helvetica Neue" w:cs="Helvetica Neue" w:eastAsia="Helvetica Neue" w:hAnsi="Helvetica Neue"/>
        </w:rPr>
      </w:pPr>
      <w:r>
        <w:rPr>
          <w:rFonts w:ascii="Helvetica Neue" w:cs="Helvetica Neue" w:eastAsia="Helvetica Neue" w:hAnsi="Helvetica Neue"/>
        </w:rPr>
        <w:drawing>
          <wp:inline distB="0" distT="0" distL="0" distR="0">
            <wp:extent cx="6126480" cy="3139821"/>
            <wp:effectExtent b="0" l="0" r="0" t="0"/>
            <wp:docPr id="1" name="image1.png" title="MOBIS-Lernarchitektur" descr="Lernarchitektur mit Grundlagen und ARIS, Prozessmodellen, Daten und Struktur sowie Verhalten und Interaktion; verbunden durch einen wiederkehrenden Lernzyklus aus Verstehen, Modellieren, Prüfen und Erklären."/>
            <a:graphic>
              <a:graphicData uri="http://schemas.openxmlformats.org/drawingml/2006/picture">
                <pic:pic>
                  <pic:nvPicPr>
                    <pic:cNvPr id="0" name="image1.png"/>
                    <pic:cNvPicPr preferRelativeResize="0"/>
                  </pic:nvPicPr>
                  <pic:blipFill>
                    <a:blip r:embed="rId8"/>
                    <a:srcRect b="0" l="0" r="0" t="0"/>
                    <a:stretch>
                      <a:fillRect/>
                    </a:stretch>
                  </pic:blipFill>
                  <pic:spPr>
                    <a:xfrm>
                      <a:off x="0" y="0"/>
                      <a:ext cx="6126480" cy="3139821"/>
                    </a:xfrm>
                    <a:prstGeom prst="rect"/>
                    <a:ln/>
                  </pic:spPr>
                </pic:pic>
              </a:graphicData>
            </a:graphic>
          </wp:inline>
        </w:drawing>
      </w:r>
      <w:r>
        <w:rPr>
          <w:rtl w:val="0"/>
        </w:rPr>
      </w:r>
    </w:p>
    <w:p w14:paraId="0000003C">
      <w:pPr>
        <w:keepNext/>
        <w:keepLines w:val="0"/>
        <w:pageBreakBefore w:val="0"/>
        <w:widowControl w:val="1"/>
        <w:pBdr>
          <w:top w:space="0" w:sz="0" w:val="nil"/>
          <w:left w:space="0" w:sz="0" w:val="nil"/>
          <w:bottom w:space="0" w:sz="0" w:val="nil"/>
          <w:right w:space="0" w:sz="0" w:val="nil"/>
          <w:between w:space="0" w:sz="0" w:val="nil"/>
        </w:pBdr>
        <w:shd w:fill="auto" w:val="clear"/>
        <w:spacing w:after="100" w:before="0" w:line="270" w:lineRule="auto"/>
        <w:ind w:left="0" w:right="0" w:firstLine="0"/>
        <w:jc w:val="left"/>
        <w:rPr>
          <w:rFonts w:ascii="Helvetica Neue" w:cs="Helvetica Neue" w:eastAsia="Helvetica Neue" w:hAnsi="Helvetica Neue"/>
          <w:color w:val="082a4a"/>
        </w:rPr>
      </w:pPr>
      <w:r>
        <w:rPr>
          <w:rFonts w:ascii="Helvetica Neue" w:cs="Helvetica Neue" w:eastAsia="Helvetica Neue" w:hAnsi="Helvetica Neue"/>
          <w:color w:val="082a4a"/>
          <w:rtl w:val="0"/>
        </w:rPr>
        <w:t>Abbildung 1. Lernarchitektur für MOBIS.</w:t>
      </w:r>
    </w:p>
    <w:p>
      <w:pPr>
        <w:pStyle w:val="Heading2"/>
        <w:keepNext/>
        <w:spacing w:before="160" w:after="80"/>
      </w:pPr>
      <w:r>
        <w:rPr>
          <w:rFonts w:ascii="Helvetica Neue" w:hAnsi="Helvetica Neue"/>
          <w:b/>
          <w:color w:val="5B7085"/>
          <w:sz w:val="21"/>
        </w:rPr>
        <w:t>Kernbausteine</w:t>
      </w:r>
    </w:p>
    <w:tbl>
      <w:tblPr>
        <w:tblStyle w:val="Table4"/>
        <w:tblW w:w="10440.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00"/>
      </w:tblPr>
      <w:tblGrid>
        <w:gridCol w:w="2268"/>
        <w:gridCol w:w="3164"/>
        <w:gridCol w:w="2374"/>
        <w:gridCol w:w="2634"/>
        <w:tblGridChange w:id="0">
          <w:tblGrid>
            <w:gridCol w:w="2268"/>
            <w:gridCol w:w="3164"/>
            <w:gridCol w:w="2374"/>
            <w:gridCol w:w="2634"/>
          </w:tblGrid>
        </w:tblGridChange>
      </w:tblGrid>
      <w:tr>
        <w:trPr>
          <w:cantSplit w:val="1"/>
          <w:tblHeader w:val="1"/>
        </w:trPr>
        <w:tc>
          <w:tcPr>
            <w:tcBorders>
              <w:top w:color="ffffff" w:space="0" w:sz="6" w:val="single"/>
              <w:left w:color="ffffff" w:space="0" w:sz="6" w:val="single"/>
              <w:bottom w:color="ffffff" w:space="0" w:sz="6" w:val="single"/>
              <w:right w:color="ffffff" w:space="0" w:sz="6" w:val="single"/>
            </w:tcBorders>
            <w:shd w:fill="082a4a" w:val="clear"/>
            <w:tcMar>
              <w:top w:w="110.0" w:type="dxa"/>
              <w:left w:w="120.0" w:type="dxa"/>
              <w:bottom w:w="110.0" w:type="dxa"/>
              <w:right w:w="120.0" w:type="dxa"/>
            </w:tcMar>
            <w:vAlign w:val="center"/>
          </w:tcPr>
          <w:p w14:paraId="00000040">
            <w:pPr>
              <w:spacing w:after="0" w:before="20" w:line="265" w:lineRule="auto"/>
              <w:rPr>
                <w:rFonts w:ascii="Helvetica Neue" w:cs="Helvetica Neue" w:eastAsia="Helvetica Neue" w:hAnsi="Helvetica Neue"/>
              </w:rPr>
            </w:pPr>
            <w:r>
              <w:rPr>
                <w:rFonts w:ascii="Helvetica Neue" w:cs="Helvetica Neue" w:eastAsia="Helvetica Neue" w:hAnsi="Helvetica Neue"/>
                <w:b w:val="1"/>
                <w:bCs w:val="1"/>
                <w:color w:val="ffffff"/>
                <w:rtl w:val="0"/>
              </w:rPr>
              <w:t>Baustein</w:t>
            </w:r>
          </w:p>
        </w:tc>
        <w:tc>
          <w:tcPr>
            <w:tcBorders>
              <w:top w:color="ffffff" w:space="0" w:sz="6" w:val="single"/>
              <w:left w:color="ffffff" w:space="0" w:sz="6" w:val="single"/>
              <w:bottom w:color="ffffff" w:space="0" w:sz="6" w:val="single"/>
              <w:right w:color="ffffff" w:space="0" w:sz="6" w:val="single"/>
            </w:tcBorders>
            <w:shd w:fill="082a4a" w:val="clear"/>
            <w:tcMar>
              <w:top w:w="110.0" w:type="dxa"/>
              <w:left w:w="120.0" w:type="dxa"/>
              <w:bottom w:w="110.0" w:type="dxa"/>
              <w:right w:w="120.0" w:type="dxa"/>
            </w:tcMar>
            <w:vAlign w:val="center"/>
          </w:tcPr>
          <w:p w14:paraId="00000041">
            <w:pPr>
              <w:spacing w:after="0" w:before="20" w:line="265" w:lineRule="auto"/>
              <w:rPr>
                <w:rFonts w:ascii="Helvetica Neue" w:cs="Helvetica Neue" w:eastAsia="Helvetica Neue" w:hAnsi="Helvetica Neue"/>
              </w:rPr>
            </w:pPr>
            <w:r>
              <w:rPr>
                <w:rFonts w:ascii="Helvetica Neue" w:cs="Helvetica Neue" w:eastAsia="Helvetica Neue" w:hAnsi="Helvetica Neue"/>
                <w:b w:val="1"/>
                <w:bCs w:val="1"/>
                <w:color w:val="ffffff"/>
                <w:rtl w:val="0"/>
              </w:rPr>
              <w:t>Leitfrage</w:t>
            </w:r>
          </w:p>
        </w:tc>
        <w:tc>
          <w:tcPr>
            <w:tcBorders>
              <w:top w:color="ffffff" w:space="0" w:sz="6" w:val="single"/>
              <w:left w:color="ffffff" w:space="0" w:sz="6" w:val="single"/>
              <w:bottom w:color="ffffff" w:space="0" w:sz="6" w:val="single"/>
              <w:right w:color="ffffff" w:space="0" w:sz="6" w:val="single"/>
            </w:tcBorders>
            <w:shd w:fill="082a4a" w:val="clear"/>
            <w:tcMar>
              <w:top w:w="110.0" w:type="dxa"/>
              <w:left w:w="120.0" w:type="dxa"/>
              <w:bottom w:w="110.0" w:type="dxa"/>
              <w:right w:w="120.0" w:type="dxa"/>
            </w:tcMar>
            <w:vAlign w:val="center"/>
          </w:tcPr>
          <w:p w14:paraId="00000042">
            <w:pPr>
              <w:spacing w:after="0" w:before="20" w:line="265" w:lineRule="auto"/>
              <w:rPr>
                <w:rFonts w:ascii="Helvetica Neue" w:cs="Helvetica Neue" w:eastAsia="Helvetica Neue" w:hAnsi="Helvetica Neue"/>
              </w:rPr>
            </w:pPr>
            <w:r>
              <w:rPr>
                <w:rFonts w:ascii="Helvetica Neue" w:cs="Helvetica Neue" w:eastAsia="Helvetica Neue" w:hAnsi="Helvetica Neue"/>
                <w:b w:val="1"/>
                <w:bCs w:val="1"/>
                <w:color w:val="ffffff"/>
                <w:rtl w:val="0"/>
              </w:rPr>
              <w:t>Arbeitsergebnis</w:t>
            </w:r>
          </w:p>
        </w:tc>
        <w:tc>
          <w:tcPr>
            <w:tcBorders>
              <w:top w:color="ffffff" w:space="0" w:sz="6" w:val="single"/>
              <w:left w:color="ffffff" w:space="0" w:sz="6" w:val="single"/>
              <w:bottom w:color="ffffff" w:space="0" w:sz="6" w:val="single"/>
              <w:right w:color="ffffff" w:space="0" w:sz="6" w:val="single"/>
            </w:tcBorders>
            <w:shd w:fill="082a4a" w:val="clear"/>
            <w:tcMar>
              <w:top w:w="110.0" w:type="dxa"/>
              <w:left w:w="120.0" w:type="dxa"/>
              <w:bottom w:w="110.0" w:type="dxa"/>
              <w:right w:w="120.0" w:type="dxa"/>
            </w:tcMar>
            <w:vAlign w:val="center"/>
          </w:tcPr>
          <w:p w14:paraId="00000043">
            <w:pPr>
              <w:spacing w:after="0" w:before="20" w:line="265" w:lineRule="auto"/>
              <w:rPr>
                <w:rFonts w:ascii="Helvetica Neue" w:cs="Helvetica Neue" w:eastAsia="Helvetica Neue" w:hAnsi="Helvetica Neue"/>
              </w:rPr>
            </w:pPr>
            <w:r>
              <w:rPr>
                <w:rFonts w:ascii="Helvetica Neue" w:cs="Helvetica Neue" w:eastAsia="Helvetica Neue" w:hAnsi="Helvetica Neue"/>
                <w:b w:val="1"/>
                <w:bCs w:val="1"/>
                <w:color w:val="ffffff"/>
                <w:rtl w:val="0"/>
              </w:rPr>
              <w:t>Kompetenznachweis</w:t>
            </w:r>
          </w:p>
        </w:tc>
      </w:tr>
      <w:tr>
        <w:trPr>
          <w:cantSplit w:val="1"/>
          <w:tblHeader w:val="0"/>
        </w:trPr>
        <w:tc>
          <w:tcPr>
            <w:tcBorders>
              <w:top w:color="ffffff" w:space="0" w:sz="6" w:val="single"/>
              <w:left w:color="ffffff" w:space="0" w:sz="6" w:val="single"/>
              <w:bottom w:color="ffffff" w:space="0" w:sz="6" w:val="single"/>
              <w:right w:color="ffffff" w:space="0" w:sz="6" w:val="single"/>
            </w:tcBorders>
            <w:shd w:fill="e6f0f8" w:val="clear"/>
            <w:tcMar>
              <w:top w:w="110.0" w:type="dxa"/>
              <w:left w:w="120.0" w:type="dxa"/>
              <w:bottom w:w="110.0" w:type="dxa"/>
              <w:right w:w="120.0" w:type="dxa"/>
            </w:tcMar>
            <w:vAlign w:val="center"/>
          </w:tcPr>
          <w:p w14:paraId="00000044">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Grundlagen und ARIS</w:t>
            </w:r>
          </w:p>
        </w:tc>
        <w:tc>
          <w:tcPr>
            <w:tcBorders>
              <w:top w:color="ffffff" w:space="0" w:sz="6" w:val="single"/>
              <w:left w:color="ffffff" w:space="0" w:sz="6" w:val="single"/>
              <w:bottom w:color="ffffff" w:space="0" w:sz="6" w:val="single"/>
              <w:right w:color="ffffff" w:space="0" w:sz="6" w:val="single"/>
            </w:tcBorders>
            <w:shd w:fill="ffffff" w:val="clear"/>
            <w:tcMar>
              <w:top w:w="110.0" w:type="dxa"/>
              <w:left w:w="120.0" w:type="dxa"/>
              <w:bottom w:w="110.0" w:type="dxa"/>
              <w:right w:w="120.0" w:type="dxa"/>
            </w:tcMar>
            <w:vAlign w:val="center"/>
          </w:tcPr>
          <w:p w14:paraId="00000045">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Was wird wozu, aus welcher Sicht und auf welcher Ebene modelliert?</w:t>
            </w:r>
          </w:p>
        </w:tc>
        <w:tc>
          <w:tcPr>
            <w:tcBorders>
              <w:top w:color="ffffff" w:space="0" w:sz="6" w:val="single"/>
              <w:left w:color="ffffff" w:space="0" w:sz="6" w:val="single"/>
              <w:bottom w:color="ffffff" w:space="0" w:sz="6" w:val="single"/>
              <w:right w:color="ffffff" w:space="0" w:sz="6" w:val="single"/>
            </w:tcBorders>
            <w:shd w:fill="ffffff" w:val="clear"/>
            <w:tcMar>
              <w:top w:w="110.0" w:type="dxa"/>
              <w:left w:w="120.0" w:type="dxa"/>
              <w:bottom w:w="110.0" w:type="dxa"/>
              <w:right w:w="120.0" w:type="dxa"/>
            </w:tcMar>
            <w:vAlign w:val="center"/>
          </w:tcPr>
          <w:p w14:paraId="00000046">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Begriffsnetz und Einordnungsmatrix</w:t>
            </w:r>
          </w:p>
        </w:tc>
        <w:tc>
          <w:tcPr>
            <w:tcBorders>
              <w:top w:color="ffffff" w:space="0" w:sz="6" w:val="single"/>
              <w:left w:color="ffffff" w:space="0" w:sz="6" w:val="single"/>
              <w:bottom w:color="ffffff" w:space="0" w:sz="6" w:val="single"/>
              <w:right w:color="ffffff" w:space="0" w:sz="6" w:val="single"/>
            </w:tcBorders>
            <w:shd w:fill="ffffff" w:val="clear"/>
            <w:tcMar>
              <w:top w:w="110.0" w:type="dxa"/>
              <w:left w:w="120.0" w:type="dxa"/>
              <w:bottom w:w="110.0" w:type="dxa"/>
              <w:right w:w="120.0" w:type="dxa"/>
            </w:tcMar>
            <w:vAlign w:val="center"/>
          </w:tcPr>
          <w:p w14:paraId="00000047">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Begriffe in eigenen Worten plus passendes Beispiel</w:t>
            </w:r>
          </w:p>
        </w:tc>
      </w:tr>
      <w:tr>
        <w:trPr>
          <w:cantSplit w:val="1"/>
          <w:tblHeader w:val="0"/>
        </w:trPr>
        <w:tc>
          <w:tcPr>
            <w:tcBorders>
              <w:top w:color="ffffff" w:space="0" w:sz="6" w:val="single"/>
              <w:left w:color="ffffff" w:space="0" w:sz="6" w:val="single"/>
              <w:bottom w:color="ffffff" w:space="0" w:sz="6" w:val="single"/>
              <w:right w:color="ffffff" w:space="0" w:sz="6" w:val="single"/>
            </w:tcBorders>
            <w:shd w:fill="e6f0f8" w:val="clear"/>
            <w:tcMar>
              <w:top w:w="110.0" w:type="dxa"/>
              <w:left w:w="120.0" w:type="dxa"/>
              <w:bottom w:w="110.0" w:type="dxa"/>
              <w:right w:w="120.0" w:type="dxa"/>
            </w:tcMar>
            <w:vAlign w:val="center"/>
          </w:tcPr>
          <w:p w14:paraId="00000048">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Prozessmodelle</w:t>
            </w:r>
          </w:p>
        </w:tc>
        <w:tc>
          <w:tcPr>
            <w:tcBorders>
              <w:top w:color="ffffff" w:space="0" w:sz="6" w:val="single"/>
              <w:left w:color="ffffff" w:space="0" w:sz="6" w:val="single"/>
              <w:bottom w:color="ffffff" w:space="0" w:sz="6" w:val="single"/>
              <w:right w:color="ffffff" w:space="0" w:sz="6" w:val="single"/>
            </w:tcBorders>
            <w:shd w:fill="f6f9fc" w:val="clear"/>
            <w:tcMar>
              <w:top w:w="110.0" w:type="dxa"/>
              <w:left w:w="120.0" w:type="dxa"/>
              <w:bottom w:w="110.0" w:type="dxa"/>
              <w:right w:w="120.0" w:type="dxa"/>
            </w:tcMar>
            <w:vAlign w:val="center"/>
          </w:tcPr>
          <w:p w14:paraId="00000049">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Wie läuft Arbeit ab, wo wird entschieden oder parallelisiert?</w:t>
            </w:r>
          </w:p>
        </w:tc>
        <w:tc>
          <w:tcPr>
            <w:tcBorders>
              <w:top w:color="ffffff" w:space="0" w:sz="6" w:val="single"/>
              <w:left w:color="ffffff" w:space="0" w:sz="6" w:val="single"/>
              <w:bottom w:color="ffffff" w:space="0" w:sz="6" w:val="single"/>
              <w:right w:color="ffffff" w:space="0" w:sz="6" w:val="single"/>
            </w:tcBorders>
            <w:shd w:fill="f6f9fc" w:val="clear"/>
            <w:tcMar>
              <w:top w:w="110.0" w:type="dxa"/>
              <w:left w:w="120.0" w:type="dxa"/>
              <w:bottom w:w="110.0" w:type="dxa"/>
              <w:right w:w="120.0" w:type="dxa"/>
            </w:tcMar>
            <w:vAlign w:val="center"/>
          </w:tcPr>
          <w:p w14:paraId="0000004A">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EPK, BPMN und Petri-Netz zum gleichen Fall</w:t>
            </w:r>
          </w:p>
        </w:tc>
        <w:tc>
          <w:tcPr>
            <w:tcBorders>
              <w:top w:color="ffffff" w:space="0" w:sz="6" w:val="single"/>
              <w:left w:color="ffffff" w:space="0" w:sz="6" w:val="single"/>
              <w:bottom w:color="ffffff" w:space="0" w:sz="6" w:val="single"/>
              <w:right w:color="ffffff" w:space="0" w:sz="6" w:val="single"/>
            </w:tcBorders>
            <w:shd w:fill="f6f9fc" w:val="clear"/>
            <w:tcMar>
              <w:top w:w="110.0" w:type="dxa"/>
              <w:left w:w="120.0" w:type="dxa"/>
              <w:bottom w:w="110.0" w:type="dxa"/>
              <w:right w:w="120.0" w:type="dxa"/>
            </w:tcMar>
            <w:vAlign w:val="center"/>
          </w:tcPr>
          <w:p w14:paraId="0000004B">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Notation auswählen und Kontrollfluss begründen</w:t>
            </w:r>
          </w:p>
        </w:tc>
      </w:tr>
      <w:tr>
        <w:trPr>
          <w:cantSplit w:val="1"/>
          <w:tblHeader w:val="0"/>
        </w:trPr>
        <w:tc>
          <w:tcPr>
            <w:tcBorders>
              <w:top w:color="ffffff" w:space="0" w:sz="6" w:val="single"/>
              <w:left w:color="ffffff" w:space="0" w:sz="6" w:val="single"/>
              <w:bottom w:color="ffffff" w:space="0" w:sz="6" w:val="single"/>
              <w:right w:color="ffffff" w:space="0" w:sz="6" w:val="single"/>
            </w:tcBorders>
            <w:shd w:fill="e6f0f8" w:val="clear"/>
            <w:tcMar>
              <w:top w:w="110.0" w:type="dxa"/>
              <w:left w:w="120.0" w:type="dxa"/>
              <w:bottom w:w="110.0" w:type="dxa"/>
              <w:right w:w="120.0" w:type="dxa"/>
            </w:tcMar>
            <w:vAlign w:val="center"/>
          </w:tcPr>
          <w:p w14:paraId="0000004C">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Daten und Struktur</w:t>
            </w:r>
          </w:p>
        </w:tc>
        <w:tc>
          <w:tcPr>
            <w:tcBorders>
              <w:top w:color="ffffff" w:space="0" w:sz="6" w:val="single"/>
              <w:left w:color="ffffff" w:space="0" w:sz="6" w:val="single"/>
              <w:bottom w:color="ffffff" w:space="0" w:sz="6" w:val="single"/>
              <w:right w:color="ffffff" w:space="0" w:sz="6" w:val="single"/>
            </w:tcBorders>
            <w:shd w:fill="ffffff" w:val="clear"/>
            <w:tcMar>
              <w:top w:w="110.0" w:type="dxa"/>
              <w:left w:w="120.0" w:type="dxa"/>
              <w:bottom w:w="110.0" w:type="dxa"/>
              <w:right w:w="120.0" w:type="dxa"/>
            </w:tcMar>
            <w:vAlign w:val="center"/>
          </w:tcPr>
          <w:p w14:paraId="0000004D">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Welche Objekte, Beziehungen und Strukturen bleiben bestehen?</w:t>
            </w:r>
          </w:p>
        </w:tc>
        <w:tc>
          <w:tcPr>
            <w:tcBorders>
              <w:top w:color="ffffff" w:space="0" w:sz="6" w:val="single"/>
              <w:left w:color="ffffff" w:space="0" w:sz="6" w:val="single"/>
              <w:bottom w:color="ffffff" w:space="0" w:sz="6" w:val="single"/>
              <w:right w:color="ffffff" w:space="0" w:sz="6" w:val="single"/>
            </w:tcBorders>
            <w:shd w:fill="ffffff" w:val="clear"/>
            <w:tcMar>
              <w:top w:w="110.0" w:type="dxa"/>
              <w:left w:w="120.0" w:type="dxa"/>
              <w:bottom w:w="110.0" w:type="dxa"/>
              <w:right w:w="120.0" w:type="dxa"/>
            </w:tcMar>
            <w:vAlign w:val="center"/>
          </w:tcPr>
          <w:p w14:paraId="0000004E">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ERM und UML-Klassendiagramm</w:t>
            </w:r>
          </w:p>
        </w:tc>
        <w:tc>
          <w:tcPr>
            <w:tcBorders>
              <w:top w:color="ffffff" w:space="0" w:sz="6" w:val="single"/>
              <w:left w:color="ffffff" w:space="0" w:sz="6" w:val="single"/>
              <w:bottom w:color="ffffff" w:space="0" w:sz="6" w:val="single"/>
              <w:right w:color="ffffff" w:space="0" w:sz="6" w:val="single"/>
            </w:tcBorders>
            <w:shd w:fill="ffffff" w:val="clear"/>
            <w:tcMar>
              <w:top w:w="110.0" w:type="dxa"/>
              <w:left w:w="120.0" w:type="dxa"/>
              <w:bottom w:w="110.0" w:type="dxa"/>
              <w:right w:w="120.0" w:type="dxa"/>
            </w:tcMar>
            <w:vAlign w:val="center"/>
          </w:tcPr>
          <w:p w14:paraId="0000004F">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Kardinalitäten bzw. Multiplizitäten erklären</w:t>
            </w:r>
          </w:p>
        </w:tc>
      </w:tr>
      <w:tr>
        <w:trPr>
          <w:cantSplit w:val="1"/>
          <w:tblHeader w:val="0"/>
        </w:trPr>
        <w:tc>
          <w:tcPr>
            <w:tcBorders>
              <w:top w:color="ffffff" w:space="0" w:sz="6" w:val="single"/>
              <w:left w:color="ffffff" w:space="0" w:sz="6" w:val="single"/>
              <w:bottom w:color="ffffff" w:space="0" w:sz="6" w:val="single"/>
              <w:right w:color="ffffff" w:space="0" w:sz="6" w:val="single"/>
            </w:tcBorders>
            <w:shd w:fill="e6f0f8" w:val="clear"/>
            <w:tcMar>
              <w:top w:w="110.0" w:type="dxa"/>
              <w:left w:w="120.0" w:type="dxa"/>
              <w:bottom w:w="110.0" w:type="dxa"/>
              <w:right w:w="120.0" w:type="dxa"/>
            </w:tcMar>
            <w:vAlign w:val="center"/>
          </w:tcPr>
          <w:p w14:paraId="00000050">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Verhalten und Interaktion</w:t>
            </w:r>
          </w:p>
        </w:tc>
        <w:tc>
          <w:tcPr>
            <w:tcBorders>
              <w:top w:color="ffffff" w:space="0" w:sz="6" w:val="single"/>
              <w:left w:color="ffffff" w:space="0" w:sz="6" w:val="single"/>
              <w:bottom w:color="ffffff" w:space="0" w:sz="6" w:val="single"/>
              <w:right w:color="ffffff" w:space="0" w:sz="6" w:val="single"/>
            </w:tcBorders>
            <w:shd w:fill="f6f9fc" w:val="clear"/>
            <w:tcMar>
              <w:top w:w="110.0" w:type="dxa"/>
              <w:left w:w="120.0" w:type="dxa"/>
              <w:bottom w:w="110.0" w:type="dxa"/>
              <w:right w:w="120.0" w:type="dxa"/>
            </w:tcMar>
            <w:vAlign w:val="center"/>
          </w:tcPr>
          <w:p w14:paraId="00000051">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Wer verfolgt welches Ziel und wie interagieren Beteiligte?</w:t>
            </w:r>
          </w:p>
        </w:tc>
        <w:tc>
          <w:tcPr>
            <w:tcBorders>
              <w:top w:color="ffffff" w:space="0" w:sz="6" w:val="single"/>
              <w:left w:color="ffffff" w:space="0" w:sz="6" w:val="single"/>
              <w:bottom w:color="ffffff" w:space="0" w:sz="6" w:val="single"/>
              <w:right w:color="ffffff" w:space="0" w:sz="6" w:val="single"/>
            </w:tcBorders>
            <w:shd w:fill="f6f9fc" w:val="clear"/>
            <w:tcMar>
              <w:top w:w="110.0" w:type="dxa"/>
              <w:left w:w="120.0" w:type="dxa"/>
              <w:bottom w:w="110.0" w:type="dxa"/>
              <w:right w:w="120.0" w:type="dxa"/>
            </w:tcMar>
            <w:vAlign w:val="center"/>
          </w:tcPr>
          <w:p w14:paraId="00000052">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Use Case, Aktivitäts- und Sequenzdiagramm</w:t>
            </w:r>
          </w:p>
        </w:tc>
        <w:tc>
          <w:tcPr>
            <w:tcBorders>
              <w:top w:color="ffffff" w:space="0" w:sz="6" w:val="single"/>
              <w:left w:color="ffffff" w:space="0" w:sz="6" w:val="single"/>
              <w:bottom w:color="ffffff" w:space="0" w:sz="6" w:val="single"/>
              <w:right w:color="ffffff" w:space="0" w:sz="6" w:val="single"/>
            </w:tcBorders>
            <w:shd w:fill="f6f9fc" w:val="clear"/>
            <w:tcMar>
              <w:top w:w="110.0" w:type="dxa"/>
              <w:left w:w="120.0" w:type="dxa"/>
              <w:bottom w:w="110.0" w:type="dxa"/>
              <w:right w:w="120.0" w:type="dxa"/>
            </w:tcMar>
            <w:vAlign w:val="center"/>
          </w:tcPr>
          <w:p w14:paraId="00000053">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Akteure, Ablauf und Nachrichten widerspruchsfrei halten</w:t>
            </w:r>
          </w:p>
        </w:tc>
      </w:tr>
      <w:tr>
        <w:trPr>
          <w:cantSplit w:val="1"/>
          <w:trHeight w:val="58" w:hRule="atLeast"/>
          <w:tblHeader w:val="0"/>
        </w:trPr>
        <w:tc>
          <w:tcPr>
            <w:tcBorders>
              <w:top w:color="ffffff" w:space="0" w:sz="6" w:val="single"/>
              <w:left w:color="ffffff" w:space="0" w:sz="6" w:val="single"/>
              <w:bottom w:color="ffffff" w:space="0" w:sz="6" w:val="single"/>
              <w:right w:color="ffffff" w:space="0" w:sz="6" w:val="single"/>
            </w:tcBorders>
            <w:shd w:fill="e6f0f8" w:val="clear"/>
            <w:tcMar>
              <w:top w:w="110.0" w:type="dxa"/>
              <w:left w:w="120.0" w:type="dxa"/>
              <w:bottom w:w="110.0" w:type="dxa"/>
              <w:right w:w="120.0" w:type="dxa"/>
            </w:tcMar>
            <w:vAlign w:val="center"/>
          </w:tcPr>
          <w:p w14:paraId="00000054">
            <w:pPr>
              <w:spacing w:after="25" w:line="285" w:lineRule="auto"/>
              <w:rPr>
                <w:rFonts w:ascii="Helvetica Neue" w:cs="Helvetica Neue" w:eastAsia="Helvetica Neue" w:hAnsi="Helvetica Neue"/>
              </w:rPr>
            </w:pPr>
            <w:r>
              <w:rPr>
                <w:rFonts w:ascii="Helvetica Neue" w:cs="Helvetica Neue" w:eastAsia="Helvetica Neue" w:hAnsi="Helvetica Neue"/>
                <w:color w:val="233447"/>
                <w:rtl w:val="0"/>
              </w:rPr>
              <w:t>Modellqualität</w:t>
            </w:r>
          </w:p>
        </w:tc>
        <w:tc>
          <w:tcPr>
            <w:tcBorders>
              <w:top w:color="ffffff" w:space="0" w:sz="6" w:val="single"/>
              <w:left w:color="ffffff" w:space="0" w:sz="6" w:val="single"/>
              <w:bottom w:color="ffffff" w:space="0" w:sz="6" w:val="single"/>
              <w:right w:color="ffffff" w:space="0" w:sz="6" w:val="single"/>
            </w:tcBorders>
            <w:shd w:fill="ffffff" w:val="clear"/>
            <w:tcMar>
              <w:top w:w="110.0" w:type="dxa"/>
              <w:left w:w="120.0" w:type="dxa"/>
              <w:bottom w:w="110.0" w:type="dxa"/>
              <w:right w:w="120.0" w:type="dxa"/>
            </w:tcMar>
            <w:vAlign w:val="center"/>
          </w:tcPr>
          <w:p w14:paraId="00000055">
            <w:pPr>
              <w:spacing w:after="25" w:line="285" w:lineRule="auto"/>
              <w:rPr>
                <w:rFonts w:ascii="Helvetica Neue" w:cs="Helvetica Neue" w:eastAsia="Helvetica Neue" w:hAnsi="Helvetica Neue"/>
              </w:rPr>
            </w:pPr>
            <w:r>
              <w:rPr>
                <w:rFonts w:ascii="Helvetica Neue" w:cs="Helvetica Neue" w:eastAsia="Helvetica Neue" w:hAnsi="Helvetica Neue"/>
                <w:color w:val="233447"/>
                <w:rtl w:val="0"/>
              </w:rPr>
              <w:t>Ist das Modell syntaktisch korrekt, verständlich und zweckgerecht?</w:t>
            </w:r>
          </w:p>
        </w:tc>
        <w:tc>
          <w:tcPr>
            <w:tcBorders>
              <w:top w:color="ffffff" w:space="0" w:sz="6" w:val="single"/>
              <w:left w:color="ffffff" w:space="0" w:sz="6" w:val="single"/>
              <w:bottom w:color="ffffff" w:space="0" w:sz="6" w:val="single"/>
              <w:right w:color="ffffff" w:space="0" w:sz="6" w:val="single"/>
            </w:tcBorders>
            <w:shd w:fill="ffffff" w:val="clear"/>
            <w:tcMar>
              <w:top w:w="110.0" w:type="dxa"/>
              <w:left w:w="120.0" w:type="dxa"/>
              <w:bottom w:w="110.0" w:type="dxa"/>
              <w:right w:w="120.0" w:type="dxa"/>
            </w:tcMar>
            <w:vAlign w:val="center"/>
          </w:tcPr>
          <w:p w14:paraId="00000056">
            <w:pPr>
              <w:spacing w:after="25" w:line="285" w:lineRule="auto"/>
              <w:rPr>
                <w:rFonts w:ascii="Helvetica Neue" w:cs="Helvetica Neue" w:eastAsia="Helvetica Neue" w:hAnsi="Helvetica Neue"/>
              </w:rPr>
            </w:pPr>
            <w:r>
              <w:rPr>
                <w:rFonts w:ascii="Helvetica Neue" w:cs="Helvetica Neue" w:eastAsia="Helvetica Neue" w:hAnsi="Helvetica Neue"/>
                <w:color w:val="233447"/>
                <w:rtl w:val="0"/>
              </w:rPr>
              <w:t>Syntaxcheck, Annahmenliste und Fehlerprotokoll</w:t>
            </w:r>
          </w:p>
        </w:tc>
        <w:tc>
          <w:tcPr>
            <w:tcBorders>
              <w:top w:color="ffffff" w:space="0" w:sz="6" w:val="single"/>
              <w:left w:color="ffffff" w:space="0" w:sz="6" w:val="single"/>
              <w:bottom w:color="ffffff" w:space="0" w:sz="6" w:val="single"/>
              <w:right w:color="ffffff" w:space="0" w:sz="6" w:val="single"/>
            </w:tcBorders>
            <w:shd w:fill="ffffff" w:val="clear"/>
            <w:tcMar>
              <w:top w:w="110.0" w:type="dxa"/>
              <w:left w:w="120.0" w:type="dxa"/>
              <w:bottom w:w="110.0" w:type="dxa"/>
              <w:right w:w="120.0" w:type="dxa"/>
            </w:tcMar>
            <w:vAlign w:val="center"/>
          </w:tcPr>
          <w:p w14:paraId="00000057">
            <w:pPr>
              <w:spacing w:after="25" w:line="285" w:lineRule="auto"/>
              <w:rPr>
                <w:rFonts w:ascii="Helvetica Neue" w:cs="Helvetica Neue" w:eastAsia="Helvetica Neue" w:hAnsi="Helvetica Neue"/>
              </w:rPr>
            </w:pPr>
            <w:r>
              <w:rPr>
                <w:rFonts w:ascii="Helvetica Neue" w:cs="Helvetica Neue" w:eastAsia="Helvetica Neue" w:hAnsi="Helvetica Neue"/>
                <w:color w:val="233447"/>
                <w:rtl w:val="0"/>
              </w:rPr>
              <w:t>Null kritische Syntaxfehler nach Überarbeitung</w:t>
            </w:r>
          </w:p>
        </w:tc>
      </w:tr>
      <w:tr>
        <w:trPr>
          <w:cantSplit w:val="1"/>
          <w:tblHeader w:val="0"/>
        </w:trPr>
        <w:tc>
          <w:tcPr>
            <w:tcBorders>
              <w:top w:color="ffffff" w:space="0" w:sz="6" w:val="single"/>
              <w:left w:color="ffffff" w:space="0" w:sz="6" w:val="single"/>
              <w:bottom w:color="ffffff" w:space="0" w:sz="6" w:val="single"/>
              <w:right w:color="ffffff" w:space="0" w:sz="6" w:val="single"/>
            </w:tcBorders>
            <w:shd w:fill="e6f0f8" w:val="clear"/>
            <w:tcMar>
              <w:top w:w="110.0" w:type="dxa"/>
              <w:left w:w="120.0" w:type="dxa"/>
              <w:bottom w:w="110.0" w:type="dxa"/>
              <w:right w:w="120.0" w:type="dxa"/>
            </w:tcMar>
            <w:vAlign w:val="center"/>
          </w:tcPr>
          <w:p w14:paraId="00000044">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Transferprojekt</w:t>
            </w:r>
          </w:p>
        </w:tc>
        <w:tc>
          <w:tcPr>
            <w:tcBorders>
              <w:top w:color="ffffff" w:space="0" w:sz="6" w:val="single"/>
              <w:left w:color="ffffff" w:space="0" w:sz="6" w:val="single"/>
              <w:bottom w:color="ffffff" w:space="0" w:sz="6" w:val="single"/>
              <w:right w:color="ffffff" w:space="0" w:sz="6" w:val="single"/>
            </w:tcBorders>
            <w:shd w:fill="ffffff" w:val="clear"/>
            <w:tcMar>
              <w:top w:w="110.0" w:type="dxa"/>
              <w:left w:w="120.0" w:type="dxa"/>
              <w:bottom w:w="110.0" w:type="dxa"/>
              <w:right w:w="120.0" w:type="dxa"/>
            </w:tcMar>
            <w:vAlign w:val="center"/>
          </w:tcPr>
          <w:p w14:paraId="00000045">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Wie greifen mehrere Modelle eines realen Falls ineinander?</w:t>
            </w:r>
          </w:p>
        </w:tc>
        <w:tc>
          <w:tcPr>
            <w:tcBorders>
              <w:top w:color="ffffff" w:space="0" w:sz="6" w:val="single"/>
              <w:left w:color="ffffff" w:space="0" w:sz="6" w:val="single"/>
              <w:bottom w:color="ffffff" w:space="0" w:sz="6" w:val="single"/>
              <w:right w:color="ffffff" w:space="0" w:sz="6" w:val="single"/>
            </w:tcBorders>
            <w:shd w:fill="ffffff" w:val="clear"/>
            <w:tcMar>
              <w:top w:w="110.0" w:type="dxa"/>
              <w:left w:w="120.0" w:type="dxa"/>
              <w:bottom w:w="110.0" w:type="dxa"/>
              <w:right w:w="120.0" w:type="dxa"/>
            </w:tcMar>
            <w:vAlign w:val="center"/>
          </w:tcPr>
          <w:p w14:paraId="00000046">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Vollständiges, konsistentes Modellpaket</w:t>
            </w:r>
          </w:p>
        </w:tc>
        <w:tc>
          <w:tcPr>
            <w:tcBorders>
              <w:top w:color="ffffff" w:space="0" w:sz="6" w:val="single"/>
              <w:left w:color="ffffff" w:space="0" w:sz="6" w:val="single"/>
              <w:bottom w:color="ffffff" w:space="0" w:sz="6" w:val="single"/>
              <w:right w:color="ffffff" w:space="0" w:sz="6" w:val="single"/>
            </w:tcBorders>
            <w:shd w:fill="ffffff" w:val="clear"/>
            <w:tcMar>
              <w:top w:w="110.0" w:type="dxa"/>
              <w:left w:w="120.0" w:type="dxa"/>
              <w:bottom w:w="110.0" w:type="dxa"/>
              <w:right w:w="120.0" w:type="dxa"/>
            </w:tcMar>
            <w:vAlign w:val="center"/>
          </w:tcPr>
          <w:p w14:paraId="00000047">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Projekt erklären und Bonus-Vollständigkeit nachweisen</w:t>
            </w:r>
          </w:p>
        </w:tc>
      </w:tr>
    </w:tbl>
    <w:p>
      <w:pPr>
        <w:spacing w:after="60"/>
      </w:pPr>
    </w:p>
    <w:p>
      <w:pPr>
        <w:pStyle w:val="Heading1"/>
        <w:keepNext/>
        <w:pageBreakBefore w:val="0"/>
      </w:pPr>
      <w:r>
        <w:rPr>
          <w:rFonts w:ascii="Helvetica Neue" w:hAnsi="Helvetica Neue"/>
          <w:color w:val="082A4A"/>
        </w:rPr>
        <w:t>5.  Persönlicher Lernzyklus</w:t>
      </w:r>
    </w:p>
    <w:p>
      <w:pPr>
        <w:keepLines w:val="0"/>
        <w:spacing w:before="0" w:after="110" w:line="300" w:lineRule="auto"/>
        <w:jc w:val="both"/>
      </w:pPr>
      <w:r>
        <w:rPr>
          <w:rFonts w:ascii="Helvetica Neue" w:hAnsi="Helvetica Neue"/>
          <w:color w:val="233447"/>
          <w:sz w:val="21"/>
        </w:rPr>
        <w:t>Eine Lerneinheit dauert im Regelfall 90-120 Minuten. Sie endet immer mit einem sichtbaren Modell oder einer überprüfbaren Erklärung - nicht mit bloßem Lesen.</w:t>
      </w:r>
    </w:p>
    <w:p w14:paraId="0000005B">
      <w:pPr>
        <w:keepNext w:val="0"/>
        <w:keepLines/>
        <w:pageBreakBefore w:val="0"/>
        <w:widowControl w:val="1"/>
        <w:numPr>
          <w:ilvl w:val="0"/>
          <w:numId w:val="4"/>
        </w:numPr>
        <w:pBdr>
          <w:top w:space="0" w:sz="0" w:val="nil"/>
          <w:left w:space="0" w:sz="0" w:val="nil"/>
          <w:bottom w:space="0" w:sz="0" w:val="nil"/>
          <w:right w:space="0" w:sz="0" w:val="nil"/>
          <w:between w:space="0" w:sz="0" w:val="nil"/>
        </w:pBdr>
        <w:shd w:fill="auto" w:val="clear"/>
        <w:spacing w:after="45" w:before="0" w:line="290" w:lineRule="auto"/>
        <w:ind w:left="360" w:right="0" w:hanging="360"/>
        <w:jc w:val="both"/>
        <w:rPr>
          <w:rFonts w:ascii="Helvetica Neue" w:cs="Helvetica Neue" w:eastAsia="Helvetica Neue" w:hAnsi="Helvetica Neue"/>
        </w:rPr>
      </w:pPr>
      <w:r>
        <w:rPr>
          <w:rFonts w:ascii="Helvetica Neue" w:cs="Helvetica Neue" w:eastAsia="Helvetica Neue" w:hAnsi="Helvetica Neue"/>
          <w:i w:val="0"/>
          <w:iCs w:val="0"/>
          <w:smallCaps w:val="0"/>
          <w:strike w:val="0"/>
          <w:color w:val="233447"/>
          <w:sz w:val="20"/>
          <w:szCs w:val="20"/>
          <w:u w:val="none"/>
          <w:shd w:fill="auto" w:val="clear"/>
          <w:vertAlign w:val="baseline"/>
          <w:rtl w:val="0"/>
        </w:rPr>
        <w:t>Vorwissen aktivieren: fünf Begriffe oder Symbole ohne Unterlagen notieren.</w:t>
      </w:r>
    </w:p>
    <w:p w14:paraId="0000005C">
      <w:pPr>
        <w:keepNext w:val="0"/>
        <w:keepLines/>
        <w:pageBreakBefore w:val="0"/>
        <w:widowControl w:val="1"/>
        <w:numPr>
          <w:ilvl w:val="0"/>
          <w:numId w:val="4"/>
        </w:numPr>
        <w:pBdr>
          <w:top w:space="0" w:sz="0" w:val="nil"/>
          <w:left w:space="0" w:sz="0" w:val="nil"/>
          <w:bottom w:space="0" w:sz="0" w:val="nil"/>
          <w:right w:space="0" w:sz="0" w:val="nil"/>
          <w:between w:space="0" w:sz="0" w:val="nil"/>
        </w:pBdr>
        <w:shd w:fill="auto" w:val="clear"/>
        <w:spacing w:after="45" w:before="0" w:line="290" w:lineRule="auto"/>
        <w:ind w:left="360" w:right="0" w:hanging="360"/>
        <w:jc w:val="both"/>
        <w:rPr>
          <w:rFonts w:ascii="Helvetica Neue" w:cs="Helvetica Neue" w:eastAsia="Helvetica Neue" w:hAnsi="Helvetica Neue"/>
        </w:rPr>
      </w:pPr>
      <w:r>
        <w:rPr>
          <w:rFonts w:ascii="Helvetica Neue" w:cs="Helvetica Neue" w:eastAsia="Helvetica Neue" w:hAnsi="Helvetica Neue"/>
          <w:i w:val="0"/>
          <w:iCs w:val="0"/>
          <w:smallCaps w:val="0"/>
          <w:strike w:val="0"/>
          <w:color w:val="233447"/>
          <w:sz w:val="20"/>
          <w:szCs w:val="20"/>
          <w:u w:val="none"/>
          <w:shd w:fill="auto" w:val="clear"/>
          <w:vertAlign w:val="baseline"/>
          <w:rtl w:val="0"/>
        </w:rPr>
        <w:t>Zweck klären: Leitfrage, ARIS-Sicht und Abstraktionsebene bestimmen.</w:t>
      </w:r>
    </w:p>
    <w:p w14:paraId="0000005D">
      <w:pPr>
        <w:keepNext w:val="0"/>
        <w:keepLines/>
        <w:pageBreakBefore w:val="0"/>
        <w:widowControl w:val="1"/>
        <w:numPr>
          <w:ilvl w:val="0"/>
          <w:numId w:val="4"/>
        </w:numPr>
        <w:pBdr>
          <w:top w:space="0" w:sz="0" w:val="nil"/>
          <w:left w:space="0" w:sz="0" w:val="nil"/>
          <w:bottom w:space="0" w:sz="0" w:val="nil"/>
          <w:right w:space="0" w:sz="0" w:val="nil"/>
          <w:between w:space="0" w:sz="0" w:val="nil"/>
        </w:pBdr>
        <w:shd w:fill="auto" w:val="clear"/>
        <w:spacing w:after="45" w:before="0" w:line="290" w:lineRule="auto"/>
        <w:ind w:left="360" w:right="0" w:hanging="360"/>
        <w:jc w:val="both"/>
        <w:rPr>
          <w:rFonts w:ascii="Helvetica Neue" w:cs="Helvetica Neue" w:eastAsia="Helvetica Neue" w:hAnsi="Helvetica Neue"/>
        </w:rPr>
      </w:pPr>
      <w:r>
        <w:rPr>
          <w:rFonts w:ascii="Helvetica Neue" w:cs="Helvetica Neue" w:eastAsia="Helvetica Neue" w:hAnsi="Helvetica Neue"/>
          <w:i w:val="0"/>
          <w:iCs w:val="0"/>
          <w:smallCaps w:val="0"/>
          <w:strike w:val="0"/>
          <w:color w:val="233447"/>
          <w:sz w:val="20"/>
          <w:szCs w:val="20"/>
          <w:u w:val="none"/>
          <w:shd w:fill="auto" w:val="clear"/>
          <w:vertAlign w:val="baseline"/>
          <w:rtl w:val="0"/>
        </w:rPr>
        <w:t>Konstrukte lernen: Symbol, Syntax und Semantik an einem Mini-Beispiel erklären.</w:t>
      </w:r>
    </w:p>
    <w:p w14:paraId="0000005E">
      <w:pPr>
        <w:keepNext w:val="0"/>
        <w:keepLines/>
        <w:pageBreakBefore w:val="0"/>
        <w:widowControl w:val="1"/>
        <w:numPr>
          <w:ilvl w:val="0"/>
          <w:numId w:val="4"/>
        </w:numPr>
        <w:pBdr>
          <w:top w:space="0" w:sz="0" w:val="nil"/>
          <w:left w:space="0" w:sz="0" w:val="nil"/>
          <w:bottom w:space="0" w:sz="0" w:val="nil"/>
          <w:right w:space="0" w:sz="0" w:val="nil"/>
          <w:between w:space="0" w:sz="0" w:val="nil"/>
        </w:pBdr>
        <w:shd w:fill="auto" w:val="clear"/>
        <w:spacing w:after="45" w:before="0" w:line="290" w:lineRule="auto"/>
        <w:ind w:left="360" w:right="0" w:hanging="360"/>
        <w:jc w:val="both"/>
        <w:rPr>
          <w:rFonts w:ascii="Helvetica Neue" w:cs="Helvetica Neue" w:eastAsia="Helvetica Neue" w:hAnsi="Helvetica Neue"/>
        </w:rPr>
      </w:pPr>
      <w:r>
        <w:rPr>
          <w:rFonts w:ascii="Helvetica Neue" w:cs="Helvetica Neue" w:eastAsia="Helvetica Neue" w:hAnsi="Helvetica Neue"/>
          <w:i w:val="0"/>
          <w:iCs w:val="0"/>
          <w:smallCaps w:val="0"/>
          <w:strike w:val="0"/>
          <w:color w:val="233447"/>
          <w:sz w:val="20"/>
          <w:szCs w:val="20"/>
          <w:u w:val="none"/>
          <w:shd w:fill="auto" w:val="clear"/>
          <w:vertAlign w:val="baseline"/>
          <w:rtl w:val="0"/>
        </w:rPr>
        <w:t>Modellieren: einen neuen Textfall unter Zeitlimit in die Notation übersetzen.</w:t>
      </w:r>
    </w:p>
    <w:p w14:paraId="0000005F">
      <w:pPr>
        <w:keepNext w:val="0"/>
        <w:keepLines/>
        <w:pageBreakBefore w:val="0"/>
        <w:widowControl w:val="1"/>
        <w:numPr>
          <w:ilvl w:val="0"/>
          <w:numId w:val="4"/>
        </w:numPr>
        <w:pBdr>
          <w:top w:space="0" w:sz="0" w:val="nil"/>
          <w:left w:space="0" w:sz="0" w:val="nil"/>
          <w:bottom w:space="0" w:sz="0" w:val="nil"/>
          <w:right w:space="0" w:sz="0" w:val="nil"/>
          <w:between w:space="0" w:sz="0" w:val="nil"/>
        </w:pBdr>
        <w:shd w:fill="auto" w:val="clear"/>
        <w:spacing w:after="45" w:before="0" w:line="290" w:lineRule="auto"/>
        <w:ind w:left="360" w:right="0" w:hanging="360"/>
        <w:jc w:val="both"/>
        <w:rPr>
          <w:rFonts w:ascii="Helvetica Neue" w:cs="Helvetica Neue" w:eastAsia="Helvetica Neue" w:hAnsi="Helvetica Neue"/>
        </w:rPr>
      </w:pPr>
      <w:r>
        <w:rPr>
          <w:rFonts w:ascii="Helvetica Neue" w:cs="Helvetica Neue" w:eastAsia="Helvetica Neue" w:hAnsi="Helvetica Neue"/>
          <w:i w:val="0"/>
          <w:iCs w:val="0"/>
          <w:smallCaps w:val="0"/>
          <w:strike w:val="0"/>
          <w:color w:val="233447"/>
          <w:sz w:val="20"/>
          <w:szCs w:val="20"/>
          <w:u w:val="none"/>
          <w:shd w:fill="auto" w:val="clear"/>
          <w:vertAlign w:val="baseline"/>
          <w:rtl w:val="0"/>
        </w:rPr>
        <w:t>Prüfen: Syntaxcheck, Vollständigkeit, Benennung und Alternativpfade kontrollieren.</w:t>
      </w:r>
    </w:p>
    <w:p w14:paraId="00000060">
      <w:pPr>
        <w:keepNext w:val="0"/>
        <w:keepLines/>
        <w:pageBreakBefore w:val="0"/>
        <w:widowControl w:val="1"/>
        <w:numPr>
          <w:ilvl w:val="0"/>
          <w:numId w:val="4"/>
        </w:numPr>
        <w:pBdr>
          <w:top w:space="0" w:sz="0" w:val="nil"/>
          <w:left w:space="0" w:sz="0" w:val="nil"/>
          <w:bottom w:space="0" w:sz="0" w:val="nil"/>
          <w:right w:space="0" w:sz="0" w:val="nil"/>
          <w:between w:space="0" w:sz="0" w:val="nil"/>
        </w:pBdr>
        <w:shd w:fill="auto" w:val="clear"/>
        <w:spacing w:after="45" w:before="0" w:line="290" w:lineRule="auto"/>
        <w:ind w:left="360" w:right="0" w:hanging="360"/>
        <w:jc w:val="both"/>
        <w:rPr>
          <w:rFonts w:ascii="Helvetica Neue" w:cs="Helvetica Neue" w:eastAsia="Helvetica Neue" w:hAnsi="Helvetica Neue"/>
        </w:rPr>
      </w:pPr>
      <w:r>
        <w:rPr>
          <w:rFonts w:ascii="Helvetica Neue" w:cs="Helvetica Neue" w:eastAsia="Helvetica Neue" w:hAnsi="Helvetica Neue"/>
          <w:i w:val="0"/>
          <w:iCs w:val="0"/>
          <w:smallCaps w:val="0"/>
          <w:strike w:val="0"/>
          <w:color w:val="233447"/>
          <w:sz w:val="20"/>
          <w:szCs w:val="20"/>
          <w:u w:val="none"/>
          <w:shd w:fill="auto" w:val="clear"/>
          <w:vertAlign w:val="baseline"/>
          <w:rtl w:val="0"/>
        </w:rPr>
        <w:t>Teach-back: das Modell in drei Minuten so erklären, dass ein Gruppenmitglied folgen kann.</w:t>
      </w:r>
    </w:p>
    <w:p w14:paraId="00000061">
      <w:pPr>
        <w:keepNext w:val="0"/>
        <w:keepLines/>
        <w:pageBreakBefore w:val="0"/>
        <w:widowControl w:val="1"/>
        <w:numPr>
          <w:ilvl w:val="0"/>
          <w:numId w:val="4"/>
        </w:numPr>
        <w:pBdr>
          <w:top w:space="0" w:sz="0" w:val="nil"/>
          <w:left w:space="0" w:sz="0" w:val="nil"/>
          <w:bottom w:space="0" w:sz="0" w:val="nil"/>
          <w:right w:space="0" w:sz="0" w:val="nil"/>
          <w:between w:space="0" w:sz="0" w:val="nil"/>
        </w:pBdr>
        <w:shd w:fill="auto" w:val="clear"/>
        <w:spacing w:after="45" w:before="0" w:line="290" w:lineRule="auto"/>
        <w:ind w:left="360" w:right="0" w:hanging="360"/>
        <w:jc w:val="both"/>
        <w:rPr>
          <w:rFonts w:ascii="Helvetica Neue" w:cs="Helvetica Neue" w:eastAsia="Helvetica Neue" w:hAnsi="Helvetica Neue"/>
        </w:rPr>
      </w:pPr>
      <w:r>
        <w:rPr>
          <w:rFonts w:ascii="Helvetica Neue" w:cs="Helvetica Neue" w:eastAsia="Helvetica Neue" w:hAnsi="Helvetica Neue"/>
          <w:i w:val="0"/>
          <w:iCs w:val="0"/>
          <w:smallCaps w:val="0"/>
          <w:strike w:val="0"/>
          <w:color w:val="233447"/>
          <w:sz w:val="20"/>
          <w:szCs w:val="20"/>
          <w:u w:val="none"/>
          <w:shd w:fill="auto" w:val="clear"/>
          <w:vertAlign w:val="baseline"/>
          <w:rtl w:val="0"/>
        </w:rPr>
        <w:t>Nachtest: nach 24 Stunden Kernregeln erneut abrufen und einen Fehler gezielt korrigieren.</w:t>
      </w:r>
    </w:p>
    <w:p>
      <w:pPr>
        <w:pStyle w:val="Heading2"/>
        <w:keepNext/>
        <w:spacing w:before="160" w:after="80"/>
      </w:pPr>
      <w:r>
        <w:rPr>
          <w:rFonts w:ascii="Helvetica Neue" w:hAnsi="Helvetica Neue"/>
          <w:b/>
          <w:color w:val="5B7085"/>
          <w:sz w:val="21"/>
        </w:rPr>
        <w:t>Wöchentlicher Rhythmus</w:t>
      </w:r>
    </w:p>
    <w:tbl>
      <w:tblPr>
        <w:tblStyle w:val="Table9"/>
        <w:tblW w:w="10440.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00"/>
      </w:tblPr>
      <w:tblGrid>
        <w:gridCol w:w="2954"/>
        <w:gridCol w:w="3713"/>
        <w:gridCol w:w="3773"/>
        <w:tblGridChange w:id="0">
          <w:tblGrid>
            <w:gridCol w:w="2954"/>
            <w:gridCol w:w="3713"/>
            <w:gridCol w:w="3773"/>
          </w:tblGrid>
        </w:tblGridChange>
      </w:tblGrid>
      <w:tr>
        <w:trPr>
          <w:cantSplit w:val="1"/>
          <w:tblHeader w:val="1"/>
        </w:trPr>
        <w:tc>
          <w:tcPr>
            <w:tcBorders>
              <w:top w:color="ffffff" w:space="0" w:sz="6" w:val="single"/>
              <w:left w:color="ffffff" w:space="0" w:sz="6" w:val="single"/>
              <w:bottom w:color="ffffff" w:space="0" w:sz="6" w:val="single"/>
              <w:right w:color="ffffff" w:space="0" w:sz="6" w:val="single"/>
            </w:tcBorders>
            <w:shd w:fill="082a4a" w:val="clear"/>
            <w:tcMar>
              <w:top w:w="110.0" w:type="dxa"/>
              <w:left w:w="120.0" w:type="dxa"/>
              <w:bottom w:w="110.0" w:type="dxa"/>
              <w:right w:w="120.0" w:type="dxa"/>
            </w:tcMar>
            <w:vAlign w:val="center"/>
          </w:tcPr>
          <w:p w14:paraId="000000E5">
            <w:pPr>
              <w:spacing w:after="0" w:before="20" w:line="265" w:lineRule="auto"/>
              <w:rPr>
                <w:rFonts w:ascii="Helvetica Neue" w:cs="Helvetica Neue" w:eastAsia="Helvetica Neue" w:hAnsi="Helvetica Neue"/>
              </w:rPr>
            </w:pPr>
            <w:r>
              <w:rPr>
                <w:rFonts w:ascii="Helvetica Neue" w:cs="Helvetica Neue" w:eastAsia="Helvetica Neue" w:hAnsi="Helvetica Neue"/>
                <w:b w:val="1"/>
                <w:bCs w:val="1"/>
                <w:color w:val="ffffff"/>
                <w:rtl w:val="0"/>
              </w:rPr>
              <w:t>Zeitpunkt</w:t>
            </w:r>
          </w:p>
        </w:tc>
        <w:tc>
          <w:tcPr>
            <w:tcBorders>
              <w:top w:color="ffffff" w:space="0" w:sz="6" w:val="single"/>
              <w:left w:color="ffffff" w:space="0" w:sz="6" w:val="single"/>
              <w:bottom w:color="ffffff" w:space="0" w:sz="6" w:val="single"/>
              <w:right w:color="ffffff" w:space="0" w:sz="6" w:val="single"/>
            </w:tcBorders>
            <w:shd w:fill="082a4a" w:val="clear"/>
            <w:tcMar>
              <w:top w:w="110.0" w:type="dxa"/>
              <w:left w:w="120.0" w:type="dxa"/>
              <w:bottom w:w="110.0" w:type="dxa"/>
              <w:right w:w="120.0" w:type="dxa"/>
            </w:tcMar>
            <w:vAlign w:val="center"/>
          </w:tcPr>
          <w:p w14:paraId="000000E6">
            <w:pPr>
              <w:spacing w:after="0" w:before="20" w:line="265" w:lineRule="auto"/>
              <w:rPr>
                <w:rFonts w:ascii="Helvetica Neue" w:cs="Helvetica Neue" w:eastAsia="Helvetica Neue" w:hAnsi="Helvetica Neue"/>
              </w:rPr>
            </w:pPr>
            <w:r>
              <w:rPr>
                <w:rFonts w:ascii="Helvetica Neue" w:cs="Helvetica Neue" w:eastAsia="Helvetica Neue" w:hAnsi="Helvetica Neue"/>
                <w:b w:val="1"/>
                <w:bCs w:val="1"/>
                <w:color w:val="ffffff"/>
                <w:rtl w:val="0"/>
              </w:rPr>
              <w:t>Aufgabe</w:t>
            </w:r>
          </w:p>
        </w:tc>
        <w:tc>
          <w:tcPr>
            <w:tcBorders>
              <w:top w:color="ffffff" w:space="0" w:sz="6" w:val="single"/>
              <w:left w:color="ffffff" w:space="0" w:sz="6" w:val="single"/>
              <w:bottom w:color="ffffff" w:space="0" w:sz="6" w:val="single"/>
              <w:right w:color="ffffff" w:space="0" w:sz="6" w:val="single"/>
            </w:tcBorders>
            <w:shd w:fill="082a4a" w:val="clear"/>
            <w:tcMar>
              <w:top w:w="110.0" w:type="dxa"/>
              <w:left w:w="120.0" w:type="dxa"/>
              <w:bottom w:w="110.0" w:type="dxa"/>
              <w:right w:w="120.0" w:type="dxa"/>
            </w:tcMar>
            <w:vAlign w:val="center"/>
          </w:tcPr>
          <w:p w14:paraId="000000E7">
            <w:pPr>
              <w:spacing w:after="0" w:before="20" w:line="265" w:lineRule="auto"/>
              <w:rPr>
                <w:rFonts w:ascii="Helvetica Neue" w:cs="Helvetica Neue" w:eastAsia="Helvetica Neue" w:hAnsi="Helvetica Neue"/>
              </w:rPr>
            </w:pPr>
            <w:r>
              <w:rPr>
                <w:rFonts w:ascii="Helvetica Neue" w:cs="Helvetica Neue" w:eastAsia="Helvetica Neue" w:hAnsi="Helvetica Neue"/>
                <w:b w:val="1"/>
                <w:bCs w:val="1"/>
                <w:color w:val="ffffff"/>
                <w:rtl w:val="0"/>
              </w:rPr>
              <w:t>Fertiges Ergebnis</w:t>
            </w:r>
          </w:p>
        </w:tc>
      </w:tr>
      <w:tr>
        <w:trPr>
          <w:cantSplit w:val="1"/>
          <w:tblHeader w:val="0"/>
        </w:trPr>
        <w:tc>
          <w:tcPr>
            <w:tcBorders>
              <w:top w:color="ffffff" w:space="0" w:sz="6" w:val="single"/>
              <w:left w:color="ffffff" w:space="0" w:sz="6" w:val="single"/>
              <w:bottom w:color="ffffff" w:space="0" w:sz="6" w:val="single"/>
              <w:right w:color="ffffff" w:space="0" w:sz="6" w:val="single"/>
            </w:tcBorders>
            <w:shd w:fill="e6f0f8" w:val="clear"/>
            <w:tcMar>
              <w:top w:w="110.0" w:type="dxa"/>
              <w:left w:w="120.0" w:type="dxa"/>
              <w:bottom w:w="110.0" w:type="dxa"/>
              <w:right w:w="120.0" w:type="dxa"/>
            </w:tcMar>
            <w:vAlign w:val="center"/>
          </w:tcPr>
          <w:p w14:paraId="000000E8">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Dienstag / 45-60 Min.</w:t>
            </w:r>
          </w:p>
        </w:tc>
        <w:tc>
          <w:tcPr>
            <w:tcBorders>
              <w:top w:color="ffffff" w:space="0" w:sz="6" w:val="single"/>
              <w:left w:color="ffffff" w:space="0" w:sz="6" w:val="single"/>
              <w:bottom w:color="ffffff" w:space="0" w:sz="6" w:val="single"/>
              <w:right w:color="ffffff" w:space="0" w:sz="6" w:val="single"/>
            </w:tcBorders>
            <w:shd w:fill="ffffff" w:val="clear"/>
            <w:tcMar>
              <w:top w:w="110.0" w:type="dxa"/>
              <w:left w:w="120.0" w:type="dxa"/>
              <w:bottom w:w="110.0" w:type="dxa"/>
              <w:right w:w="120.0" w:type="dxa"/>
            </w:tcMar>
            <w:vAlign w:val="center"/>
          </w:tcPr>
          <w:p w14:paraId="000000E9">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Begriffe, Symbole und eine Leitfrage vorbereiten.</w:t>
            </w:r>
          </w:p>
        </w:tc>
        <w:tc>
          <w:tcPr>
            <w:tcBorders>
              <w:top w:color="ffffff" w:space="0" w:sz="6" w:val="single"/>
              <w:left w:color="ffffff" w:space="0" w:sz="6" w:val="single"/>
              <w:bottom w:color="ffffff" w:space="0" w:sz="6" w:val="single"/>
              <w:right w:color="ffffff" w:space="0" w:sz="6" w:val="single"/>
            </w:tcBorders>
            <w:shd w:fill="ffffff" w:val="clear"/>
            <w:tcMar>
              <w:top w:w="110.0" w:type="dxa"/>
              <w:left w:w="120.0" w:type="dxa"/>
              <w:bottom w:w="110.0" w:type="dxa"/>
              <w:right w:w="120.0" w:type="dxa"/>
            </w:tcMar>
            <w:vAlign w:val="center"/>
          </w:tcPr>
          <w:p w14:paraId="000000EA">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Einseitiger Spickzettel aus dem Gedächtnis</w:t>
            </w:r>
          </w:p>
        </w:tc>
      </w:tr>
      <w:tr>
        <w:trPr>
          <w:cantSplit w:val="1"/>
          <w:tblHeader w:val="0"/>
        </w:trPr>
        <w:tc>
          <w:tcPr>
            <w:tcBorders>
              <w:top w:color="ffffff" w:space="0" w:sz="6" w:val="single"/>
              <w:left w:color="ffffff" w:space="0" w:sz="6" w:val="single"/>
              <w:bottom w:color="ffffff" w:space="0" w:sz="6" w:val="single"/>
              <w:right w:color="ffffff" w:space="0" w:sz="6" w:val="single"/>
            </w:tcBorders>
            <w:shd w:fill="e6f0f8" w:val="clear"/>
            <w:tcMar>
              <w:top w:w="110.0" w:type="dxa"/>
              <w:left w:w="120.0" w:type="dxa"/>
              <w:bottom w:w="110.0" w:type="dxa"/>
              <w:right w:w="120.0" w:type="dxa"/>
            </w:tcMar>
            <w:vAlign w:val="center"/>
          </w:tcPr>
          <w:p w14:paraId="000000EB">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Mittwoch / Lehrveranstaltung</w:t>
            </w:r>
          </w:p>
        </w:tc>
        <w:tc>
          <w:tcPr>
            <w:tcBorders>
              <w:top w:color="ffffff" w:space="0" w:sz="6" w:val="single"/>
              <w:left w:color="ffffff" w:space="0" w:sz="6" w:val="single"/>
              <w:bottom w:color="ffffff" w:space="0" w:sz="6" w:val="single"/>
              <w:right w:color="ffffff" w:space="0" w:sz="6" w:val="single"/>
            </w:tcBorders>
            <w:shd w:fill="f6f9fc" w:val="clear"/>
            <w:tcMar>
              <w:top w:w="110.0" w:type="dxa"/>
              <w:left w:w="120.0" w:type="dxa"/>
              <w:bottom w:w="110.0" w:type="dxa"/>
              <w:right w:w="120.0" w:type="dxa"/>
            </w:tcMar>
            <w:vAlign w:val="center"/>
          </w:tcPr>
          <w:p w14:paraId="000000EC">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Offene Punkte markieren; Beispiele und Korrekturen erfassen.</w:t>
            </w:r>
          </w:p>
        </w:tc>
        <w:tc>
          <w:tcPr>
            <w:tcBorders>
              <w:top w:color="ffffff" w:space="0" w:sz="6" w:val="single"/>
              <w:left w:color="ffffff" w:space="0" w:sz="6" w:val="single"/>
              <w:bottom w:color="ffffff" w:space="0" w:sz="6" w:val="single"/>
              <w:right w:color="ffffff" w:space="0" w:sz="6" w:val="single"/>
            </w:tcBorders>
            <w:shd w:fill="f6f9fc" w:val="clear"/>
            <w:tcMar>
              <w:top w:w="110.0" w:type="dxa"/>
              <w:left w:w="120.0" w:type="dxa"/>
              <w:bottom w:w="110.0" w:type="dxa"/>
              <w:right w:w="120.0" w:type="dxa"/>
            </w:tcMar>
            <w:vAlign w:val="center"/>
          </w:tcPr>
          <w:p w14:paraId="000000ED">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Drei konkrete Lernfragen</w:t>
            </w:r>
          </w:p>
        </w:tc>
      </w:tr>
      <w:tr>
        <w:trPr>
          <w:cantSplit w:val="1"/>
          <w:tblHeader w:val="0"/>
        </w:trPr>
        <w:tc>
          <w:tcPr>
            <w:tcBorders>
              <w:top w:color="ffffff" w:space="0" w:sz="6" w:val="single"/>
              <w:left w:color="ffffff" w:space="0" w:sz="6" w:val="single"/>
              <w:bottom w:color="ffffff" w:space="0" w:sz="6" w:val="single"/>
              <w:right w:color="ffffff" w:space="0" w:sz="6" w:val="single"/>
            </w:tcBorders>
            <w:shd w:fill="e6f0f8" w:val="clear"/>
            <w:tcMar>
              <w:top w:w="110.0" w:type="dxa"/>
              <w:left w:w="120.0" w:type="dxa"/>
              <w:bottom w:w="110.0" w:type="dxa"/>
              <w:right w:w="120.0" w:type="dxa"/>
            </w:tcMar>
            <w:vAlign w:val="center"/>
          </w:tcPr>
          <w:p w14:paraId="000000EE">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Bis Donnerstag / 60-90 Min.</w:t>
            </w:r>
          </w:p>
        </w:tc>
        <w:tc>
          <w:tcPr>
            <w:tcBorders>
              <w:top w:color="ffffff" w:space="0" w:sz="6" w:val="single"/>
              <w:left w:color="ffffff" w:space="0" w:sz="6" w:val="single"/>
              <w:bottom w:color="ffffff" w:space="0" w:sz="6" w:val="single"/>
              <w:right w:color="ffffff" w:space="0" w:sz="6" w:val="single"/>
            </w:tcBorders>
            <w:shd w:fill="ffffff" w:val="clear"/>
            <w:tcMar>
              <w:top w:w="110.0" w:type="dxa"/>
              <w:left w:w="120.0" w:type="dxa"/>
              <w:bottom w:w="110.0" w:type="dxa"/>
              <w:right w:w="120.0" w:type="dxa"/>
            </w:tcMar>
            <w:vAlign w:val="center"/>
          </w:tcPr>
          <w:p w14:paraId="000000EF">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Neuen Fall modellieren und mit Syntaxcheck überarbeiten.</w:t>
            </w:r>
          </w:p>
        </w:tc>
        <w:tc>
          <w:tcPr>
            <w:tcBorders>
              <w:top w:color="ffffff" w:space="0" w:sz="6" w:val="single"/>
              <w:left w:color="ffffff" w:space="0" w:sz="6" w:val="single"/>
              <w:bottom w:color="ffffff" w:space="0" w:sz="6" w:val="single"/>
              <w:right w:color="ffffff" w:space="0" w:sz="6" w:val="single"/>
            </w:tcBorders>
            <w:shd w:fill="ffffff" w:val="clear"/>
            <w:tcMar>
              <w:top w:w="110.0" w:type="dxa"/>
              <w:left w:w="120.0" w:type="dxa"/>
              <w:bottom w:w="110.0" w:type="dxa"/>
              <w:right w:w="120.0" w:type="dxa"/>
            </w:tcMar>
            <w:vAlign w:val="center"/>
          </w:tcPr>
          <w:p w14:paraId="000000F0">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Sauberes Modell plus Fehlerliste</w:t>
            </w:r>
          </w:p>
        </w:tc>
      </w:tr>
      <w:tr>
        <w:trPr>
          <w:cantSplit w:val="1"/>
          <w:tblHeader w:val="0"/>
        </w:trPr>
        <w:tc>
          <w:tcPr>
            <w:tcBorders>
              <w:top w:color="ffffff" w:space="0" w:sz="6" w:val="single"/>
              <w:left w:color="ffffff" w:space="0" w:sz="6" w:val="single"/>
              <w:bottom w:color="ffffff" w:space="0" w:sz="6" w:val="single"/>
              <w:right w:color="ffffff" w:space="0" w:sz="6" w:val="single"/>
            </w:tcBorders>
            <w:shd w:fill="e6f0f8" w:val="clear"/>
            <w:tcMar>
              <w:top w:w="110.0" w:type="dxa"/>
              <w:left w:w="120.0" w:type="dxa"/>
              <w:bottom w:w="110.0" w:type="dxa"/>
              <w:right w:w="120.0" w:type="dxa"/>
            </w:tcMar>
            <w:vAlign w:val="center"/>
          </w:tcPr>
          <w:p w14:paraId="000000F1">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Wochenende / 30 Min.</w:t>
            </w:r>
          </w:p>
        </w:tc>
        <w:tc>
          <w:tcPr>
            <w:tcBorders>
              <w:top w:color="ffffff" w:space="0" w:sz="6" w:val="single"/>
              <w:left w:color="ffffff" w:space="0" w:sz="6" w:val="single"/>
              <w:bottom w:color="ffffff" w:space="0" w:sz="6" w:val="single"/>
              <w:right w:color="ffffff" w:space="0" w:sz="6" w:val="single"/>
            </w:tcBorders>
            <w:shd w:fill="f6f9fc" w:val="clear"/>
            <w:tcMar>
              <w:top w:w="110.0" w:type="dxa"/>
              <w:left w:w="120.0" w:type="dxa"/>
              <w:bottom w:w="110.0" w:type="dxa"/>
              <w:right w:w="120.0" w:type="dxa"/>
            </w:tcMar>
            <w:vAlign w:val="center"/>
          </w:tcPr>
          <w:p w14:paraId="000000F2">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Teach-back und gemischte Wiederholung früherer Themen.</w:t>
            </w:r>
          </w:p>
        </w:tc>
        <w:tc>
          <w:tcPr>
            <w:tcBorders>
              <w:top w:color="ffffff" w:space="0" w:sz="6" w:val="single"/>
              <w:left w:color="ffffff" w:space="0" w:sz="6" w:val="single"/>
              <w:bottom w:color="ffffff" w:space="0" w:sz="6" w:val="single"/>
              <w:right w:color="ffffff" w:space="0" w:sz="6" w:val="single"/>
            </w:tcBorders>
            <w:shd w:fill="f6f9fc" w:val="clear"/>
            <w:tcMar>
              <w:top w:w="110.0" w:type="dxa"/>
              <w:left w:w="120.0" w:type="dxa"/>
              <w:bottom w:w="110.0" w:type="dxa"/>
              <w:right w:w="120.0" w:type="dxa"/>
            </w:tcMar>
            <w:vAlign w:val="center"/>
          </w:tcPr>
          <w:p w14:paraId="000000F3">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Kurztest mit mindestens 80 Prozent</w:t>
            </w:r>
          </w:p>
        </w:tc>
      </w:tr>
    </w:tbl>
    <w:p>
      <w:pPr>
        <w:spacing w:after="60"/>
      </w:pPr>
    </w:p>
    <w:p>
      <w:pPr>
        <w:pStyle w:val="Heading1"/>
        <w:keepNext/>
        <w:pageBreakBefore/>
      </w:pPr>
      <w:r>
        <w:rPr>
          <w:rFonts w:ascii="Helvetica Neue" w:hAnsi="Helvetica Neue"/>
          <w:color w:val="082A4A"/>
        </w:rPr>
        <w:t>6.  Semesterfahrplan und wichtige Ereignisse</w:t>
      </w:r>
    </w:p>
    <w:p>
      <w:pPr>
        <w:keepLines w:val="0"/>
        <w:spacing w:before="0" w:after="110" w:line="300" w:lineRule="auto"/>
        <w:jc w:val="both"/>
      </w:pPr>
      <w:r>
        <w:rPr>
          <w:rFonts w:ascii="Helvetica Neue" w:hAnsi="Helvetica Neue"/>
          <w:color w:val="233447"/>
          <w:sz w:val="21"/>
        </w:rPr>
        <w:t>Die Datumszeile stammt aus Themen_Zeitplan_2026_BI-2.xlsx, Blatt BI-1, B12:I12. Alle Termine liegen mittwochs. Die Inhalte W1-W7 sind tabellarisch belegt; W8 und der Beginn der Projektphase sind teilweise aus der Kombination mit Konzept.pptx abgeleitet.</w:t>
      </w:r>
    </w:p>
    <w:tbl>
      <w:tblPr>
        <w:tblStyle w:val="Table4"/>
        <w:tblW w:w="10440.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00"/>
      </w:tblPr>
      <w:tblGrid>
        <w:gridCol w:w="2268"/>
        <w:gridCol w:w="3164"/>
        <w:gridCol w:w="2374"/>
        <w:gridCol w:w="2634"/>
        <w:tblGridChange w:id="0">
          <w:tblGrid>
            <w:gridCol w:w="2268"/>
            <w:gridCol w:w="3164"/>
            <w:gridCol w:w="2374"/>
            <w:gridCol w:w="2634"/>
          </w:tblGrid>
        </w:tblGridChange>
      </w:tblGrid>
      <w:tr>
        <w:trPr>
          <w:cantSplit w:val="1"/>
          <w:tblHeader w:val="1"/>
        </w:trPr>
        <w:tc>
          <w:tcPr>
            <w:tcBorders>
              <w:top w:color="ffffff" w:space="0" w:sz="6" w:val="single"/>
              <w:left w:color="ffffff" w:space="0" w:sz="6" w:val="single"/>
              <w:bottom w:color="ffffff" w:space="0" w:sz="6" w:val="single"/>
              <w:right w:color="ffffff" w:space="0" w:sz="6" w:val="single"/>
            </w:tcBorders>
            <w:shd w:fill="082a4a" w:val="clear"/>
            <w:tcMar>
              <w:top w:w="110.0" w:type="dxa"/>
              <w:left w:w="120.0" w:type="dxa"/>
              <w:bottom w:w="110.0" w:type="dxa"/>
              <w:right w:w="120.0" w:type="dxa"/>
            </w:tcMar>
            <w:vAlign w:val="center"/>
          </w:tcPr>
          <w:p w14:paraId="00000040">
            <w:pPr>
              <w:spacing w:after="0" w:before="20" w:line="265" w:lineRule="auto"/>
              <w:rPr>
                <w:rFonts w:ascii="Helvetica Neue" w:cs="Helvetica Neue" w:eastAsia="Helvetica Neue" w:hAnsi="Helvetica Neue"/>
              </w:rPr>
            </w:pPr>
            <w:r>
              <w:rPr>
                <w:rFonts w:ascii="Helvetica Neue" w:cs="Helvetica Neue" w:eastAsia="Helvetica Neue" w:hAnsi="Helvetica Neue"/>
                <w:b w:val="1"/>
                <w:bCs w:val="1"/>
                <w:color w:val="ffffff"/>
                <w:rtl w:val="0"/>
              </w:rPr>
              <w:t>Woche / Datum</w:t>
            </w:r>
          </w:p>
        </w:tc>
        <w:tc>
          <w:tcPr>
            <w:tcBorders>
              <w:top w:color="ffffff" w:space="0" w:sz="6" w:val="single"/>
              <w:left w:color="ffffff" w:space="0" w:sz="6" w:val="single"/>
              <w:bottom w:color="ffffff" w:space="0" w:sz="6" w:val="single"/>
              <w:right w:color="ffffff" w:space="0" w:sz="6" w:val="single"/>
            </w:tcBorders>
            <w:shd w:fill="082a4a" w:val="clear"/>
            <w:tcMar>
              <w:top w:w="110.0" w:type="dxa"/>
              <w:left w:w="120.0" w:type="dxa"/>
              <w:bottom w:w="110.0" w:type="dxa"/>
              <w:right w:w="120.0" w:type="dxa"/>
            </w:tcMar>
            <w:vAlign w:val="center"/>
          </w:tcPr>
          <w:p w14:paraId="00000041">
            <w:pPr>
              <w:spacing w:after="0" w:before="20" w:line="265" w:lineRule="auto"/>
              <w:rPr>
                <w:rFonts w:ascii="Helvetica Neue" w:cs="Helvetica Neue" w:eastAsia="Helvetica Neue" w:hAnsi="Helvetica Neue"/>
              </w:rPr>
            </w:pPr>
            <w:r>
              <w:rPr>
                <w:rFonts w:ascii="Helvetica Neue" w:cs="Helvetica Neue" w:eastAsia="Helvetica Neue" w:hAnsi="Helvetica Neue"/>
                <w:b w:val="1"/>
                <w:bCs w:val="1"/>
                <w:color w:val="ffffff"/>
                <w:rtl w:val="0"/>
              </w:rPr>
              <w:t>HSBA-Ereignis</w:t>
            </w:r>
          </w:p>
        </w:tc>
        <w:tc>
          <w:tcPr>
            <w:tcBorders>
              <w:top w:color="ffffff" w:space="0" w:sz="6" w:val="single"/>
              <w:left w:color="ffffff" w:space="0" w:sz="6" w:val="single"/>
              <w:bottom w:color="ffffff" w:space="0" w:sz="6" w:val="single"/>
              <w:right w:color="ffffff" w:space="0" w:sz="6" w:val="single"/>
            </w:tcBorders>
            <w:shd w:fill="082a4a" w:val="clear"/>
            <w:tcMar>
              <w:top w:w="110.0" w:type="dxa"/>
              <w:left w:w="120.0" w:type="dxa"/>
              <w:bottom w:w="110.0" w:type="dxa"/>
              <w:right w:w="120.0" w:type="dxa"/>
            </w:tcMar>
            <w:vAlign w:val="center"/>
          </w:tcPr>
          <w:p w14:paraId="00000042">
            <w:pPr>
              <w:spacing w:after="0" w:before="20" w:line="265" w:lineRule="auto"/>
              <w:rPr>
                <w:rFonts w:ascii="Helvetica Neue" w:cs="Helvetica Neue" w:eastAsia="Helvetica Neue" w:hAnsi="Helvetica Neue"/>
              </w:rPr>
            </w:pPr>
            <w:r>
              <w:rPr>
                <w:rFonts w:ascii="Helvetica Neue" w:cs="Helvetica Neue" w:eastAsia="Helvetica Neue" w:hAnsi="Helvetica Neue"/>
                <w:b w:val="1"/>
                <w:bCs w:val="1"/>
                <w:color w:val="ffffff"/>
                <w:rtl w:val="0"/>
              </w:rPr>
              <w:t>Dein Tutorplan</w:t>
            </w:r>
          </w:p>
        </w:tc>
        <w:tc>
          <w:tcPr>
            <w:tcBorders>
              <w:top w:color="ffffff" w:space="0" w:sz="6" w:val="single"/>
              <w:left w:color="ffffff" w:space="0" w:sz="6" w:val="single"/>
              <w:bottom w:color="ffffff" w:space="0" w:sz="6" w:val="single"/>
              <w:right w:color="ffffff" w:space="0" w:sz="6" w:val="single"/>
            </w:tcBorders>
            <w:shd w:fill="082a4a" w:val="clear"/>
            <w:tcMar>
              <w:top w:w="110.0" w:type="dxa"/>
              <w:left w:w="120.0" w:type="dxa"/>
              <w:bottom w:w="110.0" w:type="dxa"/>
              <w:right w:w="120.0" w:type="dxa"/>
            </w:tcMar>
            <w:vAlign w:val="center"/>
          </w:tcPr>
          <w:p w14:paraId="00000043">
            <w:pPr>
              <w:spacing w:after="0" w:before="20" w:line="265" w:lineRule="auto"/>
              <w:rPr>
                <w:rFonts w:ascii="Helvetica Neue" w:cs="Helvetica Neue" w:eastAsia="Helvetica Neue" w:hAnsi="Helvetica Neue"/>
              </w:rPr>
            </w:pPr>
            <w:r>
              <w:rPr>
                <w:rFonts w:ascii="Helvetica Neue" w:cs="Helvetica Neue" w:eastAsia="Helvetica Neue" w:hAnsi="Helvetica Neue"/>
                <w:b w:val="1"/>
                <w:bCs w:val="1"/>
                <w:color w:val="ffffff"/>
                <w:rtl w:val="0"/>
              </w:rPr>
              <w:t>Austrittskriterium</w:t>
            </w:r>
          </w:p>
        </w:tc>
      </w:tr>
      <w:tr>
        <w:trPr>
          <w:cantSplit w:val="1"/>
          <w:tblHeader w:val="0"/>
        </w:trPr>
        <w:tc>
          <w:tcPr>
            <w:tcBorders>
              <w:top w:color="ffffff" w:space="0" w:sz="6" w:val="single"/>
              <w:left w:color="ffffff" w:space="0" w:sz="6" w:val="single"/>
              <w:bottom w:color="ffffff" w:space="0" w:sz="6" w:val="single"/>
              <w:right w:color="ffffff" w:space="0" w:sz="6" w:val="single"/>
            </w:tcBorders>
            <w:shd w:fill="e6f0f8" w:val="clear"/>
            <w:tcMar>
              <w:top w:w="110.0" w:type="dxa"/>
              <w:left w:w="120.0" w:type="dxa"/>
              <w:bottom w:w="110.0" w:type="dxa"/>
              <w:right w:w="120.0" w:type="dxa"/>
            </w:tcMar>
            <w:vAlign w:val="center"/>
          </w:tcPr>
          <w:p w14:paraId="00000044">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W1</w:t>
              <w:br/>
              <w:t>29.07.2026</w:t>
              <w:br/>
              <w:t>Bestätigt</w:t>
            </w:r>
          </w:p>
        </w:tc>
        <w:tc>
          <w:tcPr>
            <w:tcBorders>
              <w:top w:color="ffffff" w:space="0" w:sz="6" w:val="single"/>
              <w:left w:color="ffffff" w:space="0" w:sz="6" w:val="single"/>
              <w:bottom w:color="ffffff" w:space="0" w:sz="6" w:val="single"/>
              <w:right w:color="ffffff" w:space="0" w:sz="6" w:val="single"/>
            </w:tcBorders>
            <w:shd w:fill="ffffff" w:val="clear"/>
            <w:tcMar>
              <w:top w:w="110.0" w:type="dxa"/>
              <w:left w:w="120.0" w:type="dxa"/>
              <w:bottom w:w="110.0" w:type="dxa"/>
              <w:right w:w="120.0" w:type="dxa"/>
            </w:tcMar>
            <w:vAlign w:val="center"/>
          </w:tcPr>
          <w:p w14:paraId="00000045">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Grundlagen/Einordnung; Gruppeneinteilung; EPK durch KS; kurze Übungen.</w:t>
            </w:r>
          </w:p>
        </w:tc>
        <w:tc>
          <w:tcPr>
            <w:tcBorders>
              <w:top w:color="ffffff" w:space="0" w:sz="6" w:val="single"/>
              <w:left w:color="ffffff" w:space="0" w:sz="6" w:val="single"/>
              <w:bottom w:color="ffffff" w:space="0" w:sz="6" w:val="single"/>
              <w:right w:color="ffffff" w:space="0" w:sz="6" w:val="single"/>
            </w:tcBorders>
            <w:shd w:fill="ffffff" w:val="clear"/>
            <w:tcMar>
              <w:top w:w="110.0" w:type="dxa"/>
              <w:left w:w="120.0" w:type="dxa"/>
              <w:bottom w:w="110.0" w:type="dxa"/>
              <w:right w:w="120.0" w:type="dxa"/>
            </w:tcMar>
            <w:vAlign w:val="center"/>
          </w:tcPr>
          <w:p w14:paraId="00000046">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Informationssystem vs. IT-System, Modellbegriff, ARIS; EPK-Ereignis/Funktion und UND/XOR/OR.</w:t>
            </w:r>
          </w:p>
        </w:tc>
        <w:tc>
          <w:tcPr>
            <w:tcBorders>
              <w:top w:color="ffffff" w:space="0" w:sz="6" w:val="single"/>
              <w:left w:color="ffffff" w:space="0" w:sz="6" w:val="single"/>
              <w:bottom w:color="ffffff" w:space="0" w:sz="6" w:val="single"/>
              <w:right w:color="ffffff" w:space="0" w:sz="6" w:val="single"/>
            </w:tcBorders>
            <w:shd w:fill="ffffff" w:val="clear"/>
            <w:tcMar>
              <w:top w:w="110.0" w:type="dxa"/>
              <w:left w:w="120.0" w:type="dxa"/>
              <w:bottom w:w="110.0" w:type="dxa"/>
              <w:right w:w="120.0" w:type="dxa"/>
            </w:tcMar>
            <w:vAlign w:val="center"/>
          </w:tcPr>
          <w:p w14:paraId="00000047">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Gruppe/Kurs geklärt; Bibliotheks- und Hotel-EPK geprüft.</w:t>
            </w:r>
          </w:p>
        </w:tc>
      </w:tr>
      <w:tr>
        <w:trPr>
          <w:cantSplit w:val="1"/>
          <w:tblHeader w:val="0"/>
        </w:trPr>
        <w:tc>
          <w:tcPr>
            <w:tcBorders>
              <w:top w:color="ffffff" w:space="0" w:sz="6" w:val="single"/>
              <w:left w:color="ffffff" w:space="0" w:sz="6" w:val="single"/>
              <w:bottom w:color="ffffff" w:space="0" w:sz="6" w:val="single"/>
              <w:right w:color="ffffff" w:space="0" w:sz="6" w:val="single"/>
            </w:tcBorders>
            <w:shd w:fill="e6f0f8" w:val="clear"/>
            <w:tcMar>
              <w:top w:w="110.0" w:type="dxa"/>
              <w:left w:w="120.0" w:type="dxa"/>
              <w:bottom w:w="110.0" w:type="dxa"/>
              <w:right w:w="120.0" w:type="dxa"/>
            </w:tcMar>
            <w:vAlign w:val="center"/>
          </w:tcPr>
          <w:p w14:paraId="00000048">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W2</w:t>
              <w:br/>
              <w:t>05.08.2026</w:t>
              <w:br/>
              <w:t>Bestätigt</w:t>
            </w:r>
          </w:p>
        </w:tc>
        <w:tc>
          <w:tcPr>
            <w:tcBorders>
              <w:top w:color="ffffff" w:space="0" w:sz="6" w:val="single"/>
              <w:left w:color="ffffff" w:space="0" w:sz="6" w:val="single"/>
              <w:bottom w:color="ffffff" w:space="0" w:sz="6" w:val="single"/>
              <w:right w:color="ffffff" w:space="0" w:sz="6" w:val="single"/>
            </w:tcBorders>
            <w:shd w:fill="f6f9fc" w:val="clear"/>
            <w:tcMar>
              <w:top w:w="110.0" w:type="dxa"/>
              <w:left w:w="120.0" w:type="dxa"/>
              <w:bottom w:w="110.0" w:type="dxa"/>
              <w:right w:w="120.0" w:type="dxa"/>
            </w:tcMar>
            <w:vAlign w:val="center"/>
          </w:tcPr>
          <w:p w14:paraId="00000049">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BPMN, Petri-Netz und ERM: Vorstellung plus kurze Übungen.</w:t>
            </w:r>
          </w:p>
        </w:tc>
        <w:tc>
          <w:tcPr>
            <w:tcBorders>
              <w:top w:color="ffffff" w:space="0" w:sz="6" w:val="single"/>
              <w:left w:color="ffffff" w:space="0" w:sz="6" w:val="single"/>
              <w:bottom w:color="ffffff" w:space="0" w:sz="6" w:val="single"/>
              <w:right w:color="ffffff" w:space="0" w:sz="6" w:val="single"/>
            </w:tcBorders>
            <w:shd w:fill="f6f9fc" w:val="clear"/>
            <w:tcMar>
              <w:top w:w="110.0" w:type="dxa"/>
              <w:left w:w="120.0" w:type="dxa"/>
              <w:bottom w:w="110.0" w:type="dxa"/>
              <w:right w:w="120.0" w:type="dxa"/>
            </w:tcMar>
            <w:vAlign w:val="center"/>
          </w:tcPr>
          <w:p w14:paraId="0000004A">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Denselben Mini-Fall als Ablauf, Zustands-/Transitionslogik und Datenstruktur skizzieren.</w:t>
            </w:r>
          </w:p>
        </w:tc>
        <w:tc>
          <w:tcPr>
            <w:tcBorders>
              <w:top w:color="ffffff" w:space="0" w:sz="6" w:val="single"/>
              <w:left w:color="ffffff" w:space="0" w:sz="6" w:val="single"/>
              <w:bottom w:color="ffffff" w:space="0" w:sz="6" w:val="single"/>
              <w:right w:color="ffffff" w:space="0" w:sz="6" w:val="single"/>
            </w:tcBorders>
            <w:shd w:fill="f6f9fc" w:val="clear"/>
            <w:tcMar>
              <w:top w:w="110.0" w:type="dxa"/>
              <w:left w:w="120.0" w:type="dxa"/>
              <w:bottom w:w="110.0" w:type="dxa"/>
              <w:right w:w="120.0" w:type="dxa"/>
            </w:tcMar>
            <w:vAlign w:val="center"/>
          </w:tcPr>
          <w:p w14:paraId="0000004B">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Zweck und Kernelemente der drei Modelle unterscheiden.</w:t>
            </w:r>
          </w:p>
        </w:tc>
      </w:tr>
      <w:tr>
        <w:trPr>
          <w:cantSplit w:val="1"/>
          <w:tblHeader w:val="0"/>
        </w:trPr>
        <w:tc>
          <w:tcPr>
            <w:tcBorders>
              <w:top w:color="ffffff" w:space="0" w:sz="6" w:val="single"/>
              <w:left w:color="ffffff" w:space="0" w:sz="6" w:val="single"/>
              <w:bottom w:color="ffffff" w:space="0" w:sz="6" w:val="single"/>
              <w:right w:color="ffffff" w:space="0" w:sz="6" w:val="single"/>
            </w:tcBorders>
            <w:shd w:fill="e6f0f8" w:val="clear"/>
            <w:tcMar>
              <w:top w:w="110.0" w:type="dxa"/>
              <w:left w:w="120.0" w:type="dxa"/>
              <w:bottom w:w="110.0" w:type="dxa"/>
              <w:right w:w="120.0" w:type="dxa"/>
            </w:tcMar>
            <w:vAlign w:val="center"/>
          </w:tcPr>
          <w:p w14:paraId="0000004C">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W3</w:t>
              <w:br/>
              <w:t>12.08.2026</w:t>
              <w:br/>
              <w:t>Bestätigt</w:t>
            </w:r>
          </w:p>
        </w:tc>
        <w:tc>
          <w:tcPr>
            <w:tcBorders>
              <w:top w:color="ffffff" w:space="0" w:sz="6" w:val="single"/>
              <w:left w:color="ffffff" w:space="0" w:sz="6" w:val="single"/>
              <w:bottom w:color="ffffff" w:space="0" w:sz="6" w:val="single"/>
              <w:right w:color="ffffff" w:space="0" w:sz="6" w:val="single"/>
            </w:tcBorders>
            <w:shd w:fill="ffffff" w:val="clear"/>
            <w:tcMar>
              <w:top w:w="110.0" w:type="dxa"/>
              <w:left w:w="120.0" w:type="dxa"/>
              <w:bottom w:w="110.0" w:type="dxa"/>
              <w:right w:w="120.0" w:type="dxa"/>
            </w:tcMar>
            <w:vAlign w:val="center"/>
          </w:tcPr>
          <w:p w14:paraId="0000004D">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UML-Überblick, Use Case und Klassendiagramm: Vorstellung plus kurze Übungen.</w:t>
            </w:r>
          </w:p>
        </w:tc>
        <w:tc>
          <w:tcPr>
            <w:tcBorders>
              <w:top w:color="ffffff" w:space="0" w:sz="6" w:val="single"/>
              <w:left w:color="ffffff" w:space="0" w:sz="6" w:val="single"/>
              <w:bottom w:color="ffffff" w:space="0" w:sz="6" w:val="single"/>
              <w:right w:color="ffffff" w:space="0" w:sz="6" w:val="single"/>
            </w:tcBorders>
            <w:shd w:fill="ffffff" w:val="clear"/>
            <w:tcMar>
              <w:top w:w="110.0" w:type="dxa"/>
              <w:left w:w="120.0" w:type="dxa"/>
              <w:bottom w:w="110.0" w:type="dxa"/>
              <w:right w:w="120.0" w:type="dxa"/>
            </w:tcMar>
            <w:vAlign w:val="center"/>
          </w:tcPr>
          <w:p w14:paraId="0000004E">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Akteure/Ziele erfassen; daraus Klassen, Beziehungen und Multiplizitäten ableiten.</w:t>
            </w:r>
          </w:p>
        </w:tc>
        <w:tc>
          <w:tcPr>
            <w:tcBorders>
              <w:top w:color="ffffff" w:space="0" w:sz="6" w:val="single"/>
              <w:left w:color="ffffff" w:space="0" w:sz="6" w:val="single"/>
              <w:bottom w:color="ffffff" w:space="0" w:sz="6" w:val="single"/>
              <w:right w:color="ffffff" w:space="0" w:sz="6" w:val="single"/>
            </w:tcBorders>
            <w:shd w:fill="ffffff" w:val="clear"/>
            <w:tcMar>
              <w:top w:w="110.0" w:type="dxa"/>
              <w:left w:w="120.0" w:type="dxa"/>
              <w:bottom w:w="110.0" w:type="dxa"/>
              <w:right w:w="120.0" w:type="dxa"/>
            </w:tcMar>
            <w:vAlign w:val="center"/>
          </w:tcPr>
          <w:p w14:paraId="0000004F">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Use Case und Klassenmodell verwenden dieselben Begriffe.</w:t>
            </w:r>
          </w:p>
        </w:tc>
      </w:tr>
      <w:tr>
        <w:trPr>
          <w:cantSplit w:val="1"/>
          <w:tblHeader w:val="0"/>
        </w:trPr>
        <w:tc>
          <w:tcPr>
            <w:tcBorders>
              <w:top w:color="ffffff" w:space="0" w:sz="6" w:val="single"/>
              <w:left w:color="ffffff" w:space="0" w:sz="6" w:val="single"/>
              <w:bottom w:color="ffffff" w:space="0" w:sz="6" w:val="single"/>
              <w:right w:color="ffffff" w:space="0" w:sz="6" w:val="single"/>
            </w:tcBorders>
            <w:shd w:fill="e6f0f8" w:val="clear"/>
            <w:tcMar>
              <w:top w:w="110.0" w:type="dxa"/>
              <w:left w:w="120.0" w:type="dxa"/>
              <w:bottom w:w="110.0" w:type="dxa"/>
              <w:right w:w="120.0" w:type="dxa"/>
            </w:tcMar>
            <w:vAlign w:val="center"/>
          </w:tcPr>
          <w:p w14:paraId="00000050">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W4</w:t>
              <w:br/>
              <w:t>19.08.2026</w:t>
              <w:br/>
              <w:t>Bestätigt</w:t>
            </w:r>
          </w:p>
        </w:tc>
        <w:tc>
          <w:tcPr>
            <w:tcBorders>
              <w:top w:color="ffffff" w:space="0" w:sz="6" w:val="single"/>
              <w:left w:color="ffffff" w:space="0" w:sz="6" w:val="single"/>
              <w:bottom w:color="ffffff" w:space="0" w:sz="6" w:val="single"/>
              <w:right w:color="ffffff" w:space="0" w:sz="6" w:val="single"/>
            </w:tcBorders>
            <w:shd w:fill="f6f9fc" w:val="clear"/>
            <w:tcMar>
              <w:top w:w="110.0" w:type="dxa"/>
              <w:left w:w="120.0" w:type="dxa"/>
              <w:bottom w:w="110.0" w:type="dxa"/>
              <w:right w:w="120.0" w:type="dxa"/>
            </w:tcMar>
            <w:vAlign w:val="center"/>
          </w:tcPr>
          <w:p w14:paraId="00000051">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UML-Aktivitäts- und Sequenzdiagramm: Vorstellung; große EPK-Übungen.</w:t>
            </w:r>
          </w:p>
        </w:tc>
        <w:tc>
          <w:tcPr>
            <w:tcBorders>
              <w:top w:color="ffffff" w:space="0" w:sz="6" w:val="single"/>
              <w:left w:color="ffffff" w:space="0" w:sz="6" w:val="single"/>
              <w:bottom w:color="ffffff" w:space="0" w:sz="6" w:val="single"/>
              <w:right w:color="ffffff" w:space="0" w:sz="6" w:val="single"/>
            </w:tcBorders>
            <w:shd w:fill="f6f9fc" w:val="clear"/>
            <w:tcMar>
              <w:top w:w="110.0" w:type="dxa"/>
              <w:left w:w="120.0" w:type="dxa"/>
              <w:bottom w:w="110.0" w:type="dxa"/>
              <w:right w:w="120.0" w:type="dxa"/>
            </w:tcMar>
            <w:vAlign w:val="center"/>
          </w:tcPr>
          <w:p w14:paraId="00000052">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Reklamationsfall vollständig als EPK modellieren; einen Ablauf zusätzlich als Aktivität und Sequenz betrachten.</w:t>
            </w:r>
          </w:p>
        </w:tc>
        <w:tc>
          <w:tcPr>
            <w:tcBorders>
              <w:top w:color="ffffff" w:space="0" w:sz="6" w:val="single"/>
              <w:left w:color="ffffff" w:space="0" w:sz="6" w:val="single"/>
              <w:bottom w:color="ffffff" w:space="0" w:sz="6" w:val="single"/>
              <w:right w:color="ffffff" w:space="0" w:sz="6" w:val="single"/>
            </w:tcBorders>
            <w:shd w:fill="f6f9fc" w:val="clear"/>
            <w:tcMar>
              <w:top w:w="110.0" w:type="dxa"/>
              <w:left w:w="120.0" w:type="dxa"/>
              <w:bottom w:w="110.0" w:type="dxa"/>
              <w:right w:w="120.0" w:type="dxa"/>
            </w:tcMar>
            <w:vAlign w:val="center"/>
          </w:tcPr>
          <w:p w14:paraId="00000053">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Parallelität, Alternativen und Nachrichtenfolge erklären.</w:t>
            </w:r>
          </w:p>
        </w:tc>
      </w:tr>
      <w:tr>
        <w:trPr>
          <w:cantSplit w:val="1"/>
          <w:trHeight w:val="58" w:hRule="atLeast"/>
          <w:tblHeader w:val="0"/>
        </w:trPr>
        <w:tc>
          <w:tcPr>
            <w:tcBorders>
              <w:top w:color="ffffff" w:space="0" w:sz="6" w:val="single"/>
              <w:left w:color="ffffff" w:space="0" w:sz="6" w:val="single"/>
              <w:bottom w:color="ffffff" w:space="0" w:sz="6" w:val="single"/>
              <w:right w:color="ffffff" w:space="0" w:sz="6" w:val="single"/>
            </w:tcBorders>
            <w:shd w:fill="e6f0f8" w:val="clear"/>
            <w:tcMar>
              <w:top w:w="110.0" w:type="dxa"/>
              <w:left w:w="120.0" w:type="dxa"/>
              <w:bottom w:w="110.0" w:type="dxa"/>
              <w:right w:w="120.0" w:type="dxa"/>
            </w:tcMar>
            <w:vAlign w:val="center"/>
          </w:tcPr>
          <w:p w14:paraId="00000054">
            <w:pPr>
              <w:spacing w:after="25" w:line="285" w:lineRule="auto"/>
              <w:rPr>
                <w:rFonts w:ascii="Helvetica Neue" w:cs="Helvetica Neue" w:eastAsia="Helvetica Neue" w:hAnsi="Helvetica Neue"/>
              </w:rPr>
            </w:pPr>
            <w:r>
              <w:rPr>
                <w:rFonts w:ascii="Helvetica Neue" w:cs="Helvetica Neue" w:eastAsia="Helvetica Neue" w:hAnsi="Helvetica Neue"/>
                <w:color w:val="233447"/>
                <w:rtl w:val="0"/>
              </w:rPr>
              <w:t>W5</w:t>
              <w:br/>
              <w:t>26.08.2026</w:t>
              <w:br/>
              <w:t>Bestätigt</w:t>
            </w:r>
          </w:p>
        </w:tc>
        <w:tc>
          <w:tcPr>
            <w:tcBorders>
              <w:top w:color="ffffff" w:space="0" w:sz="6" w:val="single"/>
              <w:left w:color="ffffff" w:space="0" w:sz="6" w:val="single"/>
              <w:bottom w:color="ffffff" w:space="0" w:sz="6" w:val="single"/>
              <w:right w:color="ffffff" w:space="0" w:sz="6" w:val="single"/>
            </w:tcBorders>
            <w:shd w:fill="ffffff" w:val="clear"/>
            <w:tcMar>
              <w:top w:w="110.0" w:type="dxa"/>
              <w:left w:w="120.0" w:type="dxa"/>
              <w:bottom w:w="110.0" w:type="dxa"/>
              <w:right w:w="120.0" w:type="dxa"/>
            </w:tcMar>
            <w:vAlign w:val="center"/>
          </w:tcPr>
          <w:p w14:paraId="00000055">
            <w:pPr>
              <w:spacing w:after="25" w:line="285" w:lineRule="auto"/>
              <w:rPr>
                <w:rFonts w:ascii="Helvetica Neue" w:cs="Helvetica Neue" w:eastAsia="Helvetica Neue" w:hAnsi="Helvetica Neue"/>
              </w:rPr>
            </w:pPr>
            <w:r>
              <w:rPr>
                <w:rFonts w:ascii="Helvetica Neue" w:cs="Helvetica Neue" w:eastAsia="Helvetica Neue" w:hAnsi="Helvetica Neue"/>
                <w:color w:val="233447"/>
                <w:rtl w:val="0"/>
              </w:rPr>
              <w:t>Große Übungen zu BPMN, Petri-Netzen und ERM.</w:t>
            </w:r>
          </w:p>
        </w:tc>
        <w:tc>
          <w:tcPr>
            <w:tcBorders>
              <w:top w:color="ffffff" w:space="0" w:sz="6" w:val="single"/>
              <w:left w:color="ffffff" w:space="0" w:sz="6" w:val="single"/>
              <w:bottom w:color="ffffff" w:space="0" w:sz="6" w:val="single"/>
              <w:right w:color="ffffff" w:space="0" w:sz="6" w:val="single"/>
            </w:tcBorders>
            <w:shd w:fill="ffffff" w:val="clear"/>
            <w:tcMar>
              <w:top w:w="110.0" w:type="dxa"/>
              <w:left w:w="120.0" w:type="dxa"/>
              <w:bottom w:w="110.0" w:type="dxa"/>
              <w:right w:w="120.0" w:type="dxa"/>
            </w:tcMar>
            <w:vAlign w:val="center"/>
          </w:tcPr>
          <w:p w14:paraId="00000056">
            <w:pPr>
              <w:spacing w:after="25" w:line="285" w:lineRule="auto"/>
              <w:rPr>
                <w:rFonts w:ascii="Helvetica Neue" w:cs="Helvetica Neue" w:eastAsia="Helvetica Neue" w:hAnsi="Helvetica Neue"/>
              </w:rPr>
            </w:pPr>
            <w:r>
              <w:rPr>
                <w:rFonts w:ascii="Helvetica Neue" w:cs="Helvetica Neue" w:eastAsia="Helvetica Neue" w:hAnsi="Helvetica Neue"/>
                <w:color w:val="233447"/>
                <w:rtl w:val="0"/>
              </w:rPr>
              <w:t>Drei zeitbegrenzte Aufgaben; danach je eine Syntax- und Semantikprüfung.</w:t>
            </w:r>
          </w:p>
        </w:tc>
        <w:tc>
          <w:tcPr>
            <w:tcBorders>
              <w:top w:color="ffffff" w:space="0" w:sz="6" w:val="single"/>
              <w:left w:color="ffffff" w:space="0" w:sz="6" w:val="single"/>
              <w:bottom w:color="ffffff" w:space="0" w:sz="6" w:val="single"/>
              <w:right w:color="ffffff" w:space="0" w:sz="6" w:val="single"/>
            </w:tcBorders>
            <w:shd w:fill="ffffff" w:val="clear"/>
            <w:tcMar>
              <w:top w:w="110.0" w:type="dxa"/>
              <w:left w:w="120.0" w:type="dxa"/>
              <w:bottom w:w="110.0" w:type="dxa"/>
              <w:right w:w="120.0" w:type="dxa"/>
            </w:tcMar>
            <w:vAlign w:val="center"/>
          </w:tcPr>
          <w:p w14:paraId="00000057">
            <w:pPr>
              <w:spacing w:after="25" w:line="285" w:lineRule="auto"/>
              <w:rPr>
                <w:rFonts w:ascii="Helvetica Neue" w:cs="Helvetica Neue" w:eastAsia="Helvetica Neue" w:hAnsi="Helvetica Neue"/>
              </w:rPr>
            </w:pPr>
            <w:r>
              <w:rPr>
                <w:rFonts w:ascii="Helvetica Neue" w:cs="Helvetica Neue" w:eastAsia="Helvetica Neue" w:hAnsi="Helvetica Neue"/>
                <w:color w:val="233447"/>
                <w:rtl w:val="0"/>
              </w:rPr>
              <w:t>Kein Modellwechsel ohne begründete Leitfrage.</w:t>
            </w:r>
          </w:p>
        </w:tc>
      </w:tr>
      <w:tr>
        <w:trPr>
          <w:cantSplit w:val="1"/>
          <w:tblHeader w:val="0"/>
        </w:trPr>
        <w:tc>
          <w:tcPr>
            <w:tcBorders>
              <w:top w:color="ffffff" w:space="0" w:sz="6" w:val="single"/>
              <w:left w:color="ffffff" w:space="0" w:sz="6" w:val="single"/>
              <w:bottom w:color="ffffff" w:space="0" w:sz="6" w:val="single"/>
              <w:right w:color="ffffff" w:space="0" w:sz="6" w:val="single"/>
            </w:tcBorders>
            <w:shd w:fill="e6f0f8" w:val="clear"/>
            <w:tcMar>
              <w:top w:w="110.0" w:type="dxa"/>
              <w:left w:w="120.0" w:type="dxa"/>
              <w:bottom w:w="110.0" w:type="dxa"/>
              <w:right w:w="120.0" w:type="dxa"/>
            </w:tcMar>
            <w:vAlign w:val="center"/>
          </w:tcPr>
          <w:p w14:paraId="00000044">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W6</w:t>
              <w:br/>
              <w:t>02.09.2026</w:t>
              <w:br/>
              <w:t>Bestätigt</w:t>
            </w:r>
          </w:p>
        </w:tc>
        <w:tc>
          <w:tcPr>
            <w:tcBorders>
              <w:top w:color="ffffff" w:space="0" w:sz="6" w:val="single"/>
              <w:left w:color="ffffff" w:space="0" w:sz="6" w:val="single"/>
              <w:bottom w:color="ffffff" w:space="0" w:sz="6" w:val="single"/>
              <w:right w:color="ffffff" w:space="0" w:sz="6" w:val="single"/>
            </w:tcBorders>
            <w:shd w:fill="ffffff" w:val="clear"/>
            <w:tcMar>
              <w:top w:w="110.0" w:type="dxa"/>
              <w:left w:w="120.0" w:type="dxa"/>
              <w:bottom w:w="110.0" w:type="dxa"/>
              <w:right w:w="120.0" w:type="dxa"/>
            </w:tcMar>
            <w:vAlign w:val="center"/>
          </w:tcPr>
          <w:p w14:paraId="00000045">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Große Übungen zu UML-Überblick, Use Case und Klasse.</w:t>
            </w:r>
          </w:p>
        </w:tc>
        <w:tc>
          <w:tcPr>
            <w:tcBorders>
              <w:top w:color="ffffff" w:space="0" w:sz="6" w:val="single"/>
              <w:left w:color="ffffff" w:space="0" w:sz="6" w:val="single"/>
              <w:bottom w:color="ffffff" w:space="0" w:sz="6" w:val="single"/>
              <w:right w:color="ffffff" w:space="0" w:sz="6" w:val="single"/>
            </w:tcBorders>
            <w:shd w:fill="ffffff" w:val="clear"/>
            <w:tcMar>
              <w:top w:w="110.0" w:type="dxa"/>
              <w:left w:w="120.0" w:type="dxa"/>
              <w:bottom w:w="110.0" w:type="dxa"/>
              <w:right w:w="120.0" w:type="dxa"/>
            </w:tcMar>
            <w:vAlign w:val="center"/>
          </w:tcPr>
          <w:p w14:paraId="00000046">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Anforderungsfall in Akteursziele, Use Cases und Klassengerüst überführen.</w:t>
            </w:r>
          </w:p>
        </w:tc>
        <w:tc>
          <w:tcPr>
            <w:tcBorders>
              <w:top w:color="ffffff" w:space="0" w:sz="6" w:val="single"/>
              <w:left w:color="ffffff" w:space="0" w:sz="6" w:val="single"/>
              <w:bottom w:color="ffffff" w:space="0" w:sz="6" w:val="single"/>
              <w:right w:color="ffffff" w:space="0" w:sz="6" w:val="single"/>
            </w:tcBorders>
            <w:shd w:fill="ffffff" w:val="clear"/>
            <w:tcMar>
              <w:top w:w="110.0" w:type="dxa"/>
              <w:left w:w="120.0" w:type="dxa"/>
              <w:bottom w:w="110.0" w:type="dxa"/>
              <w:right w:w="120.0" w:type="dxa"/>
            </w:tcMar>
            <w:vAlign w:val="center"/>
          </w:tcPr>
          <w:p w14:paraId="00000047">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Begriffe, Beziehungen und Systemgrenze sind konsistent.</w:t>
            </w:r>
          </w:p>
        </w:tc>
      </w:tr>
      <w:tr>
        <w:trPr>
          <w:cantSplit w:val="1"/>
          <w:tblHeader w:val="0"/>
        </w:trPr>
        <w:tc>
          <w:tcPr>
            <w:tcBorders>
              <w:top w:color="ffffff" w:space="0" w:sz="6" w:val="single"/>
              <w:left w:color="ffffff" w:space="0" w:sz="6" w:val="single"/>
              <w:bottom w:color="ffffff" w:space="0" w:sz="6" w:val="single"/>
              <w:right w:color="ffffff" w:space="0" w:sz="6" w:val="single"/>
            </w:tcBorders>
            <w:shd w:fill="e6f0f8" w:val="clear"/>
            <w:tcMar>
              <w:top w:w="110.0" w:type="dxa"/>
              <w:left w:w="120.0" w:type="dxa"/>
              <w:bottom w:w="110.0" w:type="dxa"/>
              <w:right w:w="120.0" w:type="dxa"/>
            </w:tcMar>
            <w:vAlign w:val="center"/>
          </w:tcPr>
          <w:p w14:paraId="00000048">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W7</w:t>
              <w:br/>
              <w:t>09.09.2026</w:t>
              <w:br/>
              <w:t>Bestätigt + abgeleitet</w:t>
            </w:r>
          </w:p>
        </w:tc>
        <w:tc>
          <w:tcPr>
            <w:tcBorders>
              <w:top w:color="ffffff" w:space="0" w:sz="6" w:val="single"/>
              <w:left w:color="ffffff" w:space="0" w:sz="6" w:val="single"/>
              <w:bottom w:color="ffffff" w:space="0" w:sz="6" w:val="single"/>
              <w:right w:color="ffffff" w:space="0" w:sz="6" w:val="single"/>
            </w:tcBorders>
            <w:shd w:fill="f6f9fc" w:val="clear"/>
            <w:tcMar>
              <w:top w:w="110.0" w:type="dxa"/>
              <w:left w:w="120.0" w:type="dxa"/>
              <w:bottom w:w="110.0" w:type="dxa"/>
              <w:right w:w="120.0" w:type="dxa"/>
            </w:tcMar>
            <w:vAlign w:val="center"/>
          </w:tcPr>
          <w:p w14:paraId="00000049">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Große Übungen zu Aktivitäts- und Sequenzdiagramm; Projektphase beginnt laut Wochenband/Konzept.</w:t>
            </w:r>
          </w:p>
        </w:tc>
        <w:tc>
          <w:tcPr>
            <w:tcBorders>
              <w:top w:color="ffffff" w:space="0" w:sz="6" w:val="single"/>
              <w:left w:color="ffffff" w:space="0" w:sz="6" w:val="single"/>
              <w:bottom w:color="ffffff" w:space="0" w:sz="6" w:val="single"/>
              <w:right w:color="ffffff" w:space="0" w:sz="6" w:val="single"/>
            </w:tcBorders>
            <w:shd w:fill="f6f9fc" w:val="clear"/>
            <w:tcMar>
              <w:top w:w="110.0" w:type="dxa"/>
              <w:left w:w="120.0" w:type="dxa"/>
              <w:bottom w:w="110.0" w:type="dxa"/>
              <w:right w:w="120.0" w:type="dxa"/>
            </w:tcMar>
            <w:vAlign w:val="center"/>
          </w:tcPr>
          <w:p w14:paraId="0000004A">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Projektinventar: Anforderungen, Beteiligte, Prozesse, Daten und Schnittstellen sammeln.</w:t>
            </w:r>
          </w:p>
        </w:tc>
        <w:tc>
          <w:tcPr>
            <w:tcBorders>
              <w:top w:color="ffffff" w:space="0" w:sz="6" w:val="single"/>
              <w:left w:color="ffffff" w:space="0" w:sz="6" w:val="single"/>
              <w:bottom w:color="ffffff" w:space="0" w:sz="6" w:val="single"/>
              <w:right w:color="ffffff" w:space="0" w:sz="6" w:val="single"/>
            </w:tcBorders>
            <w:shd w:fill="f6f9fc" w:val="clear"/>
            <w:tcMar>
              <w:top w:w="110.0" w:type="dxa"/>
              <w:left w:w="120.0" w:type="dxa"/>
              <w:bottom w:w="110.0" w:type="dxa"/>
              <w:right w:w="120.0" w:type="dxa"/>
            </w:tcMar>
            <w:vAlign w:val="center"/>
          </w:tcPr>
          <w:p w14:paraId="0000004B">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Modellpaket geplant; Verantwortlichkeiten verteilt.</w:t>
            </w:r>
          </w:p>
        </w:tc>
      </w:tr>
      <w:tr>
        <w:trPr>
          <w:cantSplit w:val="1"/>
          <w:tblHeader w:val="0"/>
        </w:trPr>
        <w:tc>
          <w:tcPr>
            <w:tcBorders>
              <w:top w:color="ffffff" w:space="0" w:sz="6" w:val="single"/>
              <w:left w:color="ffffff" w:space="0" w:sz="6" w:val="single"/>
              <w:bottom w:color="ffffff" w:space="0" w:sz="6" w:val="single"/>
              <w:right w:color="ffffff" w:space="0" w:sz="6" w:val="single"/>
            </w:tcBorders>
            <w:shd w:fill="e6f0f8" w:val="clear"/>
            <w:tcMar>
              <w:top w:w="110.0" w:type="dxa"/>
              <w:left w:w="120.0" w:type="dxa"/>
              <w:bottom w:w="110.0" w:type="dxa"/>
              <w:right w:w="120.0" w:type="dxa"/>
            </w:tcMar>
            <w:vAlign w:val="center"/>
          </w:tcPr>
          <w:p w14:paraId="0000004C">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W8</w:t>
              <w:br/>
              <w:t>16.09.2026</w:t>
              <w:br/>
              <w:t>Abgeleitet / Details offen</w:t>
            </w:r>
          </w:p>
        </w:tc>
        <w:tc>
          <w:tcPr>
            <w:tcBorders>
              <w:top w:color="ffffff" w:space="0" w:sz="6" w:val="single"/>
              <w:left w:color="ffffff" w:space="0" w:sz="6" w:val="single"/>
              <w:bottom w:color="ffffff" w:space="0" w:sz="6" w:val="single"/>
              <w:right w:color="ffffff" w:space="0" w:sz="6" w:val="single"/>
            </w:tcBorders>
            <w:shd w:fill="ffffff" w:val="clear"/>
            <w:tcMar>
              <w:top w:w="110.0" w:type="dxa"/>
              <w:left w:w="120.0" w:type="dxa"/>
              <w:bottom w:w="110.0" w:type="dxa"/>
              <w:right w:w="120.0" w:type="dxa"/>
            </w:tcMar>
            <w:vAlign w:val="center"/>
          </w:tcPr>
          <w:p w14:paraId="0000004D">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Projektarbeit; konkrete Aufgabe, Abgabe und Ablauf im Zeitplan nicht ausgefüllt.</w:t>
            </w:r>
          </w:p>
        </w:tc>
        <w:tc>
          <w:tcPr>
            <w:tcBorders>
              <w:top w:color="ffffff" w:space="0" w:sz="6" w:val="single"/>
              <w:left w:color="ffffff" w:space="0" w:sz="6" w:val="single"/>
              <w:bottom w:color="ffffff" w:space="0" w:sz="6" w:val="single"/>
              <w:right w:color="ffffff" w:space="0" w:sz="6" w:val="single"/>
            </w:tcBorders>
            <w:shd w:fill="ffffff" w:val="clear"/>
            <w:tcMar>
              <w:top w:w="110.0" w:type="dxa"/>
              <w:left w:w="120.0" w:type="dxa"/>
              <w:bottom w:w="110.0" w:type="dxa"/>
              <w:right w:w="120.0" w:type="dxa"/>
            </w:tcMar>
            <w:vAlign w:val="center"/>
          </w:tcPr>
          <w:p w14:paraId="0000004E">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Modelle integrieren, gegenseitig prüfen und Bonus-Vollständigkeit dokumentieren.</w:t>
            </w:r>
          </w:p>
        </w:tc>
        <w:tc>
          <w:tcPr>
            <w:tcBorders>
              <w:top w:color="ffffff" w:space="0" w:sz="6" w:val="single"/>
              <w:left w:color="ffffff" w:space="0" w:sz="6" w:val="single"/>
              <w:bottom w:color="ffffff" w:space="0" w:sz="6" w:val="single"/>
              <w:right w:color="ffffff" w:space="0" w:sz="6" w:val="single"/>
            </w:tcBorders>
            <w:shd w:fill="ffffff" w:val="clear"/>
            <w:tcMar>
              <w:top w:w="110.0" w:type="dxa"/>
              <w:left w:w="120.0" w:type="dxa"/>
              <w:bottom w:w="110.0" w:type="dxa"/>
              <w:right w:w="120.0" w:type="dxa"/>
            </w:tcMar>
            <w:vAlign w:val="center"/>
          </w:tcPr>
          <w:p w14:paraId="0000004F">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Präsentierbares Modellpaket; offene Kursvorgaben geklärt.</w:t>
            </w:r>
          </w:p>
        </w:tc>
      </w:tr>
    </w:tbl>
    <w:p>
      <w:pPr>
        <w:spacing w:after="60"/>
      </w:pPr>
    </w:p>
    <w:p>
      <w:pPr>
        <w:pStyle w:val="Heading1"/>
        <w:keepNext/>
        <w:pageBreakBefore w:val="0"/>
      </w:pPr>
      <w:r>
        <w:rPr>
          <w:rFonts w:ascii="Helvetica Neue" w:hAnsi="Helvetica Neue"/>
          <w:color w:val="082A4A"/>
        </w:rPr>
        <w:t>7.  Wissensbasis: Modelle erkennen und einsetzen</w:t>
      </w:r>
    </w:p>
    <w:p>
      <w:pPr>
        <w:pStyle w:val="Heading2"/>
        <w:keepNext/>
        <w:spacing w:before="160" w:after="80"/>
      </w:pPr>
      <w:r>
        <w:rPr>
          <w:rFonts w:ascii="Helvetica Neue" w:hAnsi="Helvetica Neue"/>
          <w:b/>
          <w:color w:val="5B7085"/>
          <w:sz w:val="21"/>
        </w:rPr>
        <w:t>Grundlagen aus den Kursunterlagen</w:t>
      </w:r>
    </w:p>
    <w:p>
      <w:pPr>
        <w:keepLines w:val="0"/>
        <w:spacing w:before="0" w:after="110" w:line="300" w:lineRule="auto"/>
        <w:jc w:val="both"/>
      </w:pPr>
      <w:r>
        <w:rPr>
          <w:rFonts w:ascii="Helvetica Neue" w:hAnsi="Helvetica Neue"/>
          <w:b/>
          <w:color w:val="082A4A"/>
          <w:sz w:val="21"/>
        </w:rPr>
        <w:t xml:space="preserve">IT-System: </w:t>
      </w:r>
      <w:r>
        <w:rPr>
          <w:rFonts w:ascii="Helvetica Neue" w:hAnsi="Helvetica Neue"/>
          <w:color w:val="233447"/>
          <w:sz w:val="21"/>
        </w:rPr>
        <w:t>Techniken zur Verarbeitung, Speicherung und Übermittlung von Daten und Informationen. Dazu gehören unter anderem Hardware, Betriebssysteme, Anwendungen, Datenbanken und Kommunikation.</w:t>
      </w:r>
    </w:p>
    <w:p>
      <w:pPr>
        <w:keepLines w:val="0"/>
        <w:spacing w:before="0" w:after="110" w:line="300" w:lineRule="auto"/>
        <w:jc w:val="both"/>
      </w:pPr>
      <w:r>
        <w:rPr>
          <w:rFonts w:ascii="Helvetica Neue" w:hAnsi="Helvetica Neue"/>
          <w:b/>
          <w:color w:val="082A4A"/>
          <w:sz w:val="21"/>
        </w:rPr>
        <w:t xml:space="preserve">Informationssystem: </w:t>
      </w:r>
      <w:r>
        <w:rPr>
          <w:rFonts w:ascii="Helvetica Neue" w:hAnsi="Helvetica Neue"/>
          <w:color w:val="233447"/>
          <w:sz w:val="21"/>
        </w:rPr>
        <w:t>Sozio-technisches System aus Menschen und maschinellen Komponenten, das wirtschaftliches Handeln in Organisationen unterstützt. Prozesse, Ziele und Organisation gehören damit zur Betrachtung.</w:t>
      </w:r>
    </w:p>
    <w:p>
      <w:pPr>
        <w:keepLines w:val="0"/>
        <w:spacing w:before="0" w:after="110" w:line="300" w:lineRule="auto"/>
        <w:jc w:val="both"/>
      </w:pPr>
      <w:r>
        <w:rPr>
          <w:rFonts w:ascii="Helvetica Neue" w:hAnsi="Helvetica Neue"/>
          <w:b/>
          <w:color w:val="082A4A"/>
          <w:sz w:val="21"/>
        </w:rPr>
        <w:t xml:space="preserve">Modell: </w:t>
      </w:r>
      <w:r>
        <w:rPr>
          <w:rFonts w:ascii="Helvetica Neue" w:hAnsi="Helvetica Neue"/>
          <w:color w:val="233447"/>
          <w:sz w:val="21"/>
        </w:rPr>
        <w:t>Ergebnis einer bewussten Konstruktion durch einen Modellierer. Es bezieht sich auf ein Original, verwendet eine Modellierungssprache und wird durch den Nutzungszweck geprägt.</w:t>
      </w:r>
    </w:p>
    <w:p>
      <w:pPr>
        <w:keepLines w:val="0"/>
        <w:spacing w:before="0" w:after="110" w:line="300" w:lineRule="auto"/>
        <w:jc w:val="both"/>
      </w:pPr>
      <w:r>
        <w:rPr>
          <w:rFonts w:ascii="Helvetica Neue" w:hAnsi="Helvetica Neue"/>
          <w:b/>
          <w:color w:val="082A4A"/>
          <w:sz w:val="21"/>
        </w:rPr>
        <w:t xml:space="preserve">Syntax und Semantik: </w:t>
      </w:r>
      <w:r>
        <w:rPr>
          <w:rFonts w:ascii="Helvetica Neue" w:hAnsi="Helvetica Neue"/>
          <w:color w:val="233447"/>
          <w:sz w:val="21"/>
        </w:rPr>
        <w:t>Syntax regelt die zulässige Kombination der Zeichen; Semantik legt deren Bedeutung fest. Ein formal korrektes Modell kann inhaltlich trotzdem falsch oder unzweckmäßig sein.</w:t>
      </w:r>
    </w:p>
    <w:p>
      <w:pPr>
        <w:keepLines w:val="0"/>
        <w:spacing w:before="0" w:after="110" w:line="300" w:lineRule="auto"/>
        <w:jc w:val="both"/>
      </w:pPr>
      <w:r>
        <w:rPr>
          <w:rFonts w:ascii="Helvetica Neue" w:hAnsi="Helvetica Neue"/>
          <w:b/>
          <w:color w:val="082A4A"/>
          <w:sz w:val="21"/>
        </w:rPr>
        <w:t xml:space="preserve">ARIS: </w:t>
      </w:r>
      <w:r>
        <w:rPr>
          <w:rFonts w:ascii="Helvetica Neue" w:hAnsi="Helvetica Neue"/>
          <w:color w:val="233447"/>
          <w:sz w:val="21"/>
        </w:rPr>
        <w:t>Reduziert Komplexität über Daten-, Funktions-, Organisations- und Prozesssicht sowie über Fachkonzept, DV-Konzept und Implementierung. Die Organisationssicht wird im Werkzeugkasten genannt, das Organigramm laut Konzept aber nicht behandelt.</w:t>
      </w:r>
    </w:p>
    <w:p>
      <w:pPr>
        <w:keepLines w:val="0"/>
        <w:spacing w:before="0" w:after="110" w:line="300" w:lineRule="auto"/>
        <w:jc w:val="both"/>
      </w:pPr>
      <w:r>
        <w:rPr>
          <w:rFonts w:ascii="Helvetica Neue" w:hAnsi="Helvetica Neue"/>
          <w:b/>
          <w:color w:val="082A4A"/>
          <w:sz w:val="21"/>
        </w:rPr>
        <w:t xml:space="preserve">Ist und Soll: </w:t>
      </w:r>
      <w:r>
        <w:rPr>
          <w:rFonts w:ascii="Helvetica Neue" w:hAnsi="Helvetica Neue"/>
          <w:color w:val="233447"/>
          <w:sz w:val="21"/>
        </w:rPr>
        <w:t>Ein Ist-Modell bildet einen vorhandenen Realitätsausschnitt abstrahiert ab; ein Soll-Modell konstruiert einen gewünschten Zustand für eine bestimmte Nutzungsabsicht.</w:t>
      </w:r>
    </w:p>
    <w:p>
      <w:pPr>
        <w:pStyle w:val="Heading2"/>
        <w:keepNext/>
        <w:spacing w:before="160" w:after="80"/>
      </w:pPr>
      <w:r>
        <w:rPr>
          <w:rFonts w:ascii="Helvetica Neue" w:hAnsi="Helvetica Neue"/>
          <w:b/>
          <w:color w:val="5B7085"/>
          <w:sz w:val="21"/>
        </w:rPr>
        <w:t>Werkzeugkasten</w:t>
      </w:r>
    </w:p>
    <w:p>
      <w:pPr>
        <w:keepLines w:val="0"/>
        <w:spacing w:before="0" w:after="110" w:line="300" w:lineRule="auto"/>
        <w:jc w:val="both"/>
      </w:pPr>
      <w:r>
        <w:rPr>
          <w:rFonts w:ascii="Helvetica Neue" w:hAnsi="Helvetica Neue"/>
          <w:color w:val="233447"/>
          <w:sz w:val="21"/>
        </w:rPr>
        <w:t>Die Themenzuordnung ist bestätigt; die kompakten Kernelemente für BPMN, Petri-Netze, ERM und UML sind Tutoren-Ergänzungen, bis die jeweiligen Foliensätze vorliegen.</w:t>
      </w:r>
    </w:p>
    <w:tbl>
      <w:tblPr>
        <w:tblStyle w:val="Table4"/>
        <w:tblW w:w="10440.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00"/>
      </w:tblPr>
      <w:tblGrid>
        <w:gridCol w:w="2268"/>
        <w:gridCol w:w="3164"/>
        <w:gridCol w:w="2374"/>
        <w:gridCol w:w="2634"/>
        <w:tblGridChange w:id="0">
          <w:tblGrid>
            <w:gridCol w:w="2268"/>
            <w:gridCol w:w="3164"/>
            <w:gridCol w:w="2374"/>
            <w:gridCol w:w="2634"/>
          </w:tblGrid>
        </w:tblGridChange>
      </w:tblGrid>
      <w:tr>
        <w:trPr>
          <w:cantSplit w:val="1"/>
          <w:tblHeader w:val="1"/>
        </w:trPr>
        <w:tc>
          <w:tcPr>
            <w:tcBorders>
              <w:top w:color="ffffff" w:space="0" w:sz="6" w:val="single"/>
              <w:left w:color="ffffff" w:space="0" w:sz="6" w:val="single"/>
              <w:bottom w:color="ffffff" w:space="0" w:sz="6" w:val="single"/>
              <w:right w:color="ffffff" w:space="0" w:sz="6" w:val="single"/>
            </w:tcBorders>
            <w:shd w:fill="082a4a" w:val="clear"/>
            <w:tcMar>
              <w:top w:w="110.0" w:type="dxa"/>
              <w:left w:w="120.0" w:type="dxa"/>
              <w:bottom w:w="110.0" w:type="dxa"/>
              <w:right w:w="120.0" w:type="dxa"/>
            </w:tcMar>
            <w:vAlign w:val="center"/>
          </w:tcPr>
          <w:p w14:paraId="00000040">
            <w:pPr>
              <w:spacing w:after="0" w:before="20" w:line="265" w:lineRule="auto"/>
              <w:rPr>
                <w:rFonts w:ascii="Helvetica Neue" w:cs="Helvetica Neue" w:eastAsia="Helvetica Neue" w:hAnsi="Helvetica Neue"/>
              </w:rPr>
            </w:pPr>
            <w:r>
              <w:rPr>
                <w:rFonts w:ascii="Helvetica Neue" w:cs="Helvetica Neue" w:eastAsia="Helvetica Neue" w:hAnsi="Helvetica Neue"/>
                <w:b w:val="1"/>
                <w:bCs w:val="1"/>
                <w:color w:val="ffffff"/>
                <w:rtl w:val="0"/>
              </w:rPr>
              <w:t>Modell</w:t>
            </w:r>
          </w:p>
        </w:tc>
        <w:tc>
          <w:tcPr>
            <w:tcBorders>
              <w:top w:color="ffffff" w:space="0" w:sz="6" w:val="single"/>
              <w:left w:color="ffffff" w:space="0" w:sz="6" w:val="single"/>
              <w:bottom w:color="ffffff" w:space="0" w:sz="6" w:val="single"/>
              <w:right w:color="ffffff" w:space="0" w:sz="6" w:val="single"/>
            </w:tcBorders>
            <w:shd w:fill="082a4a" w:val="clear"/>
            <w:tcMar>
              <w:top w:w="110.0" w:type="dxa"/>
              <w:left w:w="120.0" w:type="dxa"/>
              <w:bottom w:w="110.0" w:type="dxa"/>
              <w:right w:w="120.0" w:type="dxa"/>
            </w:tcMar>
            <w:vAlign w:val="center"/>
          </w:tcPr>
          <w:p w14:paraId="00000041">
            <w:pPr>
              <w:spacing w:after="0" w:before="20" w:line="265" w:lineRule="auto"/>
              <w:rPr>
                <w:rFonts w:ascii="Helvetica Neue" w:cs="Helvetica Neue" w:eastAsia="Helvetica Neue" w:hAnsi="Helvetica Neue"/>
              </w:rPr>
            </w:pPr>
            <w:r>
              <w:rPr>
                <w:rFonts w:ascii="Helvetica Neue" w:cs="Helvetica Neue" w:eastAsia="Helvetica Neue" w:hAnsi="Helvetica Neue"/>
                <w:b w:val="1"/>
                <w:bCs w:val="1"/>
                <w:color w:val="ffffff"/>
                <w:rtl w:val="0"/>
              </w:rPr>
              <w:t>Leitfrage / Sicht</w:t>
            </w:r>
          </w:p>
        </w:tc>
        <w:tc>
          <w:tcPr>
            <w:tcBorders>
              <w:top w:color="ffffff" w:space="0" w:sz="6" w:val="single"/>
              <w:left w:color="ffffff" w:space="0" w:sz="6" w:val="single"/>
              <w:bottom w:color="ffffff" w:space="0" w:sz="6" w:val="single"/>
              <w:right w:color="ffffff" w:space="0" w:sz="6" w:val="single"/>
            </w:tcBorders>
            <w:shd w:fill="082a4a" w:val="clear"/>
            <w:tcMar>
              <w:top w:w="110.0" w:type="dxa"/>
              <w:left w:w="120.0" w:type="dxa"/>
              <w:bottom w:w="110.0" w:type="dxa"/>
              <w:right w:w="120.0" w:type="dxa"/>
            </w:tcMar>
            <w:vAlign w:val="center"/>
          </w:tcPr>
          <w:p w14:paraId="00000042">
            <w:pPr>
              <w:spacing w:after="0" w:before="20" w:line="265" w:lineRule="auto"/>
              <w:rPr>
                <w:rFonts w:ascii="Helvetica Neue" w:cs="Helvetica Neue" w:eastAsia="Helvetica Neue" w:hAnsi="Helvetica Neue"/>
              </w:rPr>
            </w:pPr>
            <w:r>
              <w:rPr>
                <w:rFonts w:ascii="Helvetica Neue" w:cs="Helvetica Neue" w:eastAsia="Helvetica Neue" w:hAnsi="Helvetica Neue"/>
                <w:b w:val="1"/>
                <w:bCs w:val="1"/>
                <w:color w:val="ffffff"/>
                <w:rtl w:val="0"/>
              </w:rPr>
              <w:t>Kernelemente</w:t>
            </w:r>
          </w:p>
        </w:tc>
        <w:tc>
          <w:tcPr>
            <w:tcBorders>
              <w:top w:color="ffffff" w:space="0" w:sz="6" w:val="single"/>
              <w:left w:color="ffffff" w:space="0" w:sz="6" w:val="single"/>
              <w:bottom w:color="ffffff" w:space="0" w:sz="6" w:val="single"/>
              <w:right w:color="ffffff" w:space="0" w:sz="6" w:val="single"/>
            </w:tcBorders>
            <w:shd w:fill="082a4a" w:val="clear"/>
            <w:tcMar>
              <w:top w:w="110.0" w:type="dxa"/>
              <w:left w:w="120.0" w:type="dxa"/>
              <w:bottom w:w="110.0" w:type="dxa"/>
              <w:right w:w="120.0" w:type="dxa"/>
            </w:tcMar>
            <w:vAlign w:val="center"/>
          </w:tcPr>
          <w:p w14:paraId="00000043">
            <w:pPr>
              <w:spacing w:after="0" w:before="20" w:line="265" w:lineRule="auto"/>
              <w:rPr>
                <w:rFonts w:ascii="Helvetica Neue" w:cs="Helvetica Neue" w:eastAsia="Helvetica Neue" w:hAnsi="Helvetica Neue"/>
              </w:rPr>
            </w:pPr>
            <w:r>
              <w:rPr>
                <w:rFonts w:ascii="Helvetica Neue" w:cs="Helvetica Neue" w:eastAsia="Helvetica Neue" w:hAnsi="Helvetica Neue"/>
                <w:b w:val="1"/>
                <w:bCs w:val="1"/>
                <w:color w:val="ffffff"/>
                <w:rtl w:val="0"/>
              </w:rPr>
              <w:t>Was du können musst</w:t>
            </w:r>
          </w:p>
        </w:tc>
      </w:tr>
      <w:tr>
        <w:trPr>
          <w:cantSplit w:val="1"/>
          <w:tblHeader w:val="0"/>
        </w:trPr>
        <w:tc>
          <w:tcPr>
            <w:tcBorders>
              <w:top w:color="ffffff" w:space="0" w:sz="6" w:val="single"/>
              <w:left w:color="ffffff" w:space="0" w:sz="6" w:val="single"/>
              <w:bottom w:color="ffffff" w:space="0" w:sz="6" w:val="single"/>
              <w:right w:color="ffffff" w:space="0" w:sz="6" w:val="single"/>
            </w:tcBorders>
            <w:shd w:fill="e6f0f8" w:val="clear"/>
            <w:tcMar>
              <w:top w:w="110.0" w:type="dxa"/>
              <w:left w:w="120.0" w:type="dxa"/>
              <w:bottom w:w="110.0" w:type="dxa"/>
              <w:right w:w="120.0" w:type="dxa"/>
            </w:tcMar>
            <w:vAlign w:val="center"/>
          </w:tcPr>
          <w:p w14:paraId="00000044">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EPK / eEPK</w:t>
            </w:r>
          </w:p>
        </w:tc>
        <w:tc>
          <w:tcPr>
            <w:tcBorders>
              <w:top w:color="ffffff" w:space="0" w:sz="6" w:val="single"/>
              <w:left w:color="ffffff" w:space="0" w:sz="6" w:val="single"/>
              <w:bottom w:color="ffffff" w:space="0" w:sz="6" w:val="single"/>
              <w:right w:color="ffffff" w:space="0" w:sz="6" w:val="single"/>
            </w:tcBorders>
            <w:shd w:fill="ffffff" w:val="clear"/>
            <w:tcMar>
              <w:top w:w="110.0" w:type="dxa"/>
              <w:left w:w="120.0" w:type="dxa"/>
              <w:bottom w:w="110.0" w:type="dxa"/>
              <w:right w:w="120.0" w:type="dxa"/>
            </w:tcMar>
            <w:vAlign w:val="center"/>
          </w:tcPr>
          <w:p w14:paraId="00000045">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Wie verläuft der Geschäftsprozess? Prozesssicht.</w:t>
            </w:r>
          </w:p>
        </w:tc>
        <w:tc>
          <w:tcPr>
            <w:tcBorders>
              <w:top w:color="ffffff" w:space="0" w:sz="6" w:val="single"/>
              <w:left w:color="ffffff" w:space="0" w:sz="6" w:val="single"/>
              <w:bottom w:color="ffffff" w:space="0" w:sz="6" w:val="single"/>
              <w:right w:color="ffffff" w:space="0" w:sz="6" w:val="single"/>
            </w:tcBorders>
            <w:shd w:fill="ffffff" w:val="clear"/>
            <w:tcMar>
              <w:top w:w="110.0" w:type="dxa"/>
              <w:left w:w="120.0" w:type="dxa"/>
              <w:bottom w:w="110.0" w:type="dxa"/>
              <w:right w:w="120.0" w:type="dxa"/>
            </w:tcMar>
            <w:vAlign w:val="center"/>
          </w:tcPr>
          <w:p w14:paraId="00000046">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Ereignis, Funktion, UND/XOR/OR; optional Organisation, Daten, System und Prozesswegweiser.</w:t>
            </w:r>
          </w:p>
        </w:tc>
        <w:tc>
          <w:tcPr>
            <w:tcBorders>
              <w:top w:color="ffffff" w:space="0" w:sz="6" w:val="single"/>
              <w:left w:color="ffffff" w:space="0" w:sz="6" w:val="single"/>
              <w:bottom w:color="ffffff" w:space="0" w:sz="6" w:val="single"/>
              <w:right w:color="ffffff" w:space="0" w:sz="6" w:val="single"/>
            </w:tcBorders>
            <w:shd w:fill="ffffff" w:val="clear"/>
            <w:tcMar>
              <w:top w:w="110.0" w:type="dxa"/>
              <w:left w:w="120.0" w:type="dxa"/>
              <w:bottom w:w="110.0" w:type="dxa"/>
              <w:right w:w="120.0" w:type="dxa"/>
            </w:tcMar>
            <w:vAlign w:val="center"/>
          </w:tcPr>
          <w:p w14:paraId="00000047">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Textfall in alternierende Ereignis-/Funktionskette übersetzen und Konnektoren prüfen.</w:t>
            </w:r>
          </w:p>
        </w:tc>
      </w:tr>
      <w:tr>
        <w:trPr>
          <w:cantSplit w:val="1"/>
          <w:tblHeader w:val="0"/>
        </w:trPr>
        <w:tc>
          <w:tcPr>
            <w:tcBorders>
              <w:top w:color="ffffff" w:space="0" w:sz="6" w:val="single"/>
              <w:left w:color="ffffff" w:space="0" w:sz="6" w:val="single"/>
              <w:bottom w:color="ffffff" w:space="0" w:sz="6" w:val="single"/>
              <w:right w:color="ffffff" w:space="0" w:sz="6" w:val="single"/>
            </w:tcBorders>
            <w:shd w:fill="e6f0f8" w:val="clear"/>
            <w:tcMar>
              <w:top w:w="110.0" w:type="dxa"/>
              <w:left w:w="120.0" w:type="dxa"/>
              <w:bottom w:w="110.0" w:type="dxa"/>
              <w:right w:w="120.0" w:type="dxa"/>
            </w:tcMar>
            <w:vAlign w:val="center"/>
          </w:tcPr>
          <w:p w14:paraId="00000048">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BPMN</w:t>
            </w:r>
          </w:p>
        </w:tc>
        <w:tc>
          <w:tcPr>
            <w:tcBorders>
              <w:top w:color="ffffff" w:space="0" w:sz="6" w:val="single"/>
              <w:left w:color="ffffff" w:space="0" w:sz="6" w:val="single"/>
              <w:bottom w:color="ffffff" w:space="0" w:sz="6" w:val="single"/>
              <w:right w:color="ffffff" w:space="0" w:sz="6" w:val="single"/>
            </w:tcBorders>
            <w:shd w:fill="f6f9fc" w:val="clear"/>
            <w:tcMar>
              <w:top w:w="110.0" w:type="dxa"/>
              <w:left w:w="120.0" w:type="dxa"/>
              <w:bottom w:w="110.0" w:type="dxa"/>
              <w:right w:w="120.0" w:type="dxa"/>
            </w:tcMar>
            <w:vAlign w:val="center"/>
          </w:tcPr>
          <w:p w14:paraId="00000049">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Wie laufen Aktivitäten, Ereignisse und Zusammenarbeit ab? Prozesssicht.</w:t>
            </w:r>
          </w:p>
        </w:tc>
        <w:tc>
          <w:tcPr>
            <w:tcBorders>
              <w:top w:color="ffffff" w:space="0" w:sz="6" w:val="single"/>
              <w:left w:color="ffffff" w:space="0" w:sz="6" w:val="single"/>
              <w:bottom w:color="ffffff" w:space="0" w:sz="6" w:val="single"/>
              <w:right w:color="ffffff" w:space="0" w:sz="6" w:val="single"/>
            </w:tcBorders>
            <w:shd w:fill="f6f9fc" w:val="clear"/>
            <w:tcMar>
              <w:top w:w="110.0" w:type="dxa"/>
              <w:left w:w="120.0" w:type="dxa"/>
              <w:bottom w:w="110.0" w:type="dxa"/>
              <w:right w:w="120.0" w:type="dxa"/>
            </w:tcMar>
            <w:vAlign w:val="center"/>
          </w:tcPr>
          <w:p w14:paraId="0000004A">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Ereignisse, Aktivitäten, Gateways, Sequenzflüsse, Pools/Lanes und Nachrichtenflüsse.</w:t>
            </w:r>
          </w:p>
        </w:tc>
        <w:tc>
          <w:tcPr>
            <w:tcBorders>
              <w:top w:color="ffffff" w:space="0" w:sz="6" w:val="single"/>
              <w:left w:color="ffffff" w:space="0" w:sz="6" w:val="single"/>
              <w:bottom w:color="ffffff" w:space="0" w:sz="6" w:val="single"/>
              <w:right w:color="ffffff" w:space="0" w:sz="6" w:val="single"/>
            </w:tcBorders>
            <w:shd w:fill="f6f9fc" w:val="clear"/>
            <w:tcMar>
              <w:top w:w="110.0" w:type="dxa"/>
              <w:left w:w="120.0" w:type="dxa"/>
              <w:bottom w:w="110.0" w:type="dxa"/>
              <w:right w:w="120.0" w:type="dxa"/>
            </w:tcMar>
            <w:vAlign w:val="center"/>
          </w:tcPr>
          <w:p w14:paraId="0000004B">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Beteiligte trennen, Start/Ende und Entscheidungslogik verständlich darstellen.</w:t>
            </w:r>
          </w:p>
        </w:tc>
      </w:tr>
      <w:tr>
        <w:trPr>
          <w:cantSplit w:val="1"/>
          <w:tblHeader w:val="0"/>
        </w:trPr>
        <w:tc>
          <w:tcPr>
            <w:tcBorders>
              <w:top w:color="ffffff" w:space="0" w:sz="6" w:val="single"/>
              <w:left w:color="ffffff" w:space="0" w:sz="6" w:val="single"/>
              <w:bottom w:color="ffffff" w:space="0" w:sz="6" w:val="single"/>
              <w:right w:color="ffffff" w:space="0" w:sz="6" w:val="single"/>
            </w:tcBorders>
            <w:shd w:fill="e6f0f8" w:val="clear"/>
            <w:tcMar>
              <w:top w:w="110.0" w:type="dxa"/>
              <w:left w:w="120.0" w:type="dxa"/>
              <w:bottom w:w="110.0" w:type="dxa"/>
              <w:right w:w="120.0" w:type="dxa"/>
            </w:tcMar>
            <w:vAlign w:val="center"/>
          </w:tcPr>
          <w:p w14:paraId="0000004C">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Petri-Netz</w:t>
            </w:r>
          </w:p>
        </w:tc>
        <w:tc>
          <w:tcPr>
            <w:tcBorders>
              <w:top w:color="ffffff" w:space="0" w:sz="6" w:val="single"/>
              <w:left w:color="ffffff" w:space="0" w:sz="6" w:val="single"/>
              <w:bottom w:color="ffffff" w:space="0" w:sz="6" w:val="single"/>
              <w:right w:color="ffffff" w:space="0" w:sz="6" w:val="single"/>
            </w:tcBorders>
            <w:shd w:fill="ffffff" w:val="clear"/>
            <w:tcMar>
              <w:top w:w="110.0" w:type="dxa"/>
              <w:left w:w="120.0" w:type="dxa"/>
              <w:bottom w:w="110.0" w:type="dxa"/>
              <w:right w:w="120.0" w:type="dxa"/>
            </w:tcMar>
            <w:vAlign w:val="center"/>
          </w:tcPr>
          <w:p w14:paraId="0000004D">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Welche Zustände und Übergänge erlauben Parallelität? Prozesssicht.</w:t>
            </w:r>
          </w:p>
        </w:tc>
        <w:tc>
          <w:tcPr>
            <w:tcBorders>
              <w:top w:color="ffffff" w:space="0" w:sz="6" w:val="single"/>
              <w:left w:color="ffffff" w:space="0" w:sz="6" w:val="single"/>
              <w:bottom w:color="ffffff" w:space="0" w:sz="6" w:val="single"/>
              <w:right w:color="ffffff" w:space="0" w:sz="6" w:val="single"/>
            </w:tcBorders>
            <w:shd w:fill="ffffff" w:val="clear"/>
            <w:tcMar>
              <w:top w:w="110.0" w:type="dxa"/>
              <w:left w:w="120.0" w:type="dxa"/>
              <w:bottom w:w="110.0" w:type="dxa"/>
              <w:right w:w="120.0" w:type="dxa"/>
            </w:tcMar>
            <w:vAlign w:val="center"/>
          </w:tcPr>
          <w:p w14:paraId="0000004E">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Stellen, Transitionen, Kanten und Marken.</w:t>
            </w:r>
          </w:p>
        </w:tc>
        <w:tc>
          <w:tcPr>
            <w:tcBorders>
              <w:top w:color="ffffff" w:space="0" w:sz="6" w:val="single"/>
              <w:left w:color="ffffff" w:space="0" w:sz="6" w:val="single"/>
              <w:bottom w:color="ffffff" w:space="0" w:sz="6" w:val="single"/>
              <w:right w:color="ffffff" w:space="0" w:sz="6" w:val="single"/>
            </w:tcBorders>
            <w:shd w:fill="ffffff" w:val="clear"/>
            <w:tcMar>
              <w:top w:w="110.0" w:type="dxa"/>
              <w:left w:w="120.0" w:type="dxa"/>
              <w:bottom w:w="110.0" w:type="dxa"/>
              <w:right w:w="120.0" w:type="dxa"/>
            </w:tcMar>
            <w:vAlign w:val="center"/>
          </w:tcPr>
          <w:p w14:paraId="0000004F">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Schaltregeln anwenden und Erreichbarkeit, Synchronisation oder mögliche Blockaden erklären.</w:t>
            </w:r>
          </w:p>
        </w:tc>
      </w:tr>
      <w:tr>
        <w:trPr>
          <w:cantSplit w:val="1"/>
          <w:tblHeader w:val="0"/>
        </w:trPr>
        <w:tc>
          <w:tcPr>
            <w:tcBorders>
              <w:top w:color="ffffff" w:space="0" w:sz="6" w:val="single"/>
              <w:left w:color="ffffff" w:space="0" w:sz="6" w:val="single"/>
              <w:bottom w:color="ffffff" w:space="0" w:sz="6" w:val="single"/>
              <w:right w:color="ffffff" w:space="0" w:sz="6" w:val="single"/>
            </w:tcBorders>
            <w:shd w:fill="e6f0f8" w:val="clear"/>
            <w:tcMar>
              <w:top w:w="110.0" w:type="dxa"/>
              <w:left w:w="120.0" w:type="dxa"/>
              <w:bottom w:w="110.0" w:type="dxa"/>
              <w:right w:w="120.0" w:type="dxa"/>
            </w:tcMar>
            <w:vAlign w:val="center"/>
          </w:tcPr>
          <w:p w14:paraId="00000050">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ERM</w:t>
            </w:r>
          </w:p>
        </w:tc>
        <w:tc>
          <w:tcPr>
            <w:tcBorders>
              <w:top w:color="ffffff" w:space="0" w:sz="6" w:val="single"/>
              <w:left w:color="ffffff" w:space="0" w:sz="6" w:val="single"/>
              <w:bottom w:color="ffffff" w:space="0" w:sz="6" w:val="single"/>
              <w:right w:color="ffffff" w:space="0" w:sz="6" w:val="single"/>
            </w:tcBorders>
            <w:shd w:fill="f6f9fc" w:val="clear"/>
            <w:tcMar>
              <w:top w:w="110.0" w:type="dxa"/>
              <w:left w:w="120.0" w:type="dxa"/>
              <w:bottom w:w="110.0" w:type="dxa"/>
              <w:right w:w="120.0" w:type="dxa"/>
            </w:tcMar>
            <w:vAlign w:val="center"/>
          </w:tcPr>
          <w:p w14:paraId="00000051">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Welche Datenobjekte und Beziehungen existieren? Datensicht.</w:t>
            </w:r>
          </w:p>
        </w:tc>
        <w:tc>
          <w:tcPr>
            <w:tcBorders>
              <w:top w:color="ffffff" w:space="0" w:sz="6" w:val="single"/>
              <w:left w:color="ffffff" w:space="0" w:sz="6" w:val="single"/>
              <w:bottom w:color="ffffff" w:space="0" w:sz="6" w:val="single"/>
              <w:right w:color="ffffff" w:space="0" w:sz="6" w:val="single"/>
            </w:tcBorders>
            <w:shd w:fill="f6f9fc" w:val="clear"/>
            <w:tcMar>
              <w:top w:w="110.0" w:type="dxa"/>
              <w:left w:w="120.0" w:type="dxa"/>
              <w:bottom w:w="110.0" w:type="dxa"/>
              <w:right w:w="120.0" w:type="dxa"/>
            </w:tcMar>
            <w:vAlign w:val="center"/>
          </w:tcPr>
          <w:p w14:paraId="00000052">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Entitäten, Attribute, Beziehungen, Schlüssel und Kardinalitäten.</w:t>
            </w:r>
          </w:p>
        </w:tc>
        <w:tc>
          <w:tcPr>
            <w:tcBorders>
              <w:top w:color="ffffff" w:space="0" w:sz="6" w:val="single"/>
              <w:left w:color="ffffff" w:space="0" w:sz="6" w:val="single"/>
              <w:bottom w:color="ffffff" w:space="0" w:sz="6" w:val="single"/>
              <w:right w:color="ffffff" w:space="0" w:sz="6" w:val="single"/>
            </w:tcBorders>
            <w:shd w:fill="f6f9fc" w:val="clear"/>
            <w:tcMar>
              <w:top w:w="110.0" w:type="dxa"/>
              <w:left w:w="120.0" w:type="dxa"/>
              <w:bottom w:w="110.0" w:type="dxa"/>
              <w:right w:w="120.0" w:type="dxa"/>
            </w:tcMar>
            <w:vAlign w:val="center"/>
          </w:tcPr>
          <w:p w14:paraId="00000053">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Fachbegriffe sauber trennen und Beziehungsmengen korrekt kardinalisieren.</w:t>
            </w:r>
          </w:p>
        </w:tc>
      </w:tr>
      <w:tr>
        <w:trPr>
          <w:cantSplit w:val="1"/>
          <w:trHeight w:val="58" w:hRule="atLeast"/>
          <w:tblHeader w:val="0"/>
        </w:trPr>
        <w:tc>
          <w:tcPr>
            <w:tcBorders>
              <w:top w:color="ffffff" w:space="0" w:sz="6" w:val="single"/>
              <w:left w:color="ffffff" w:space="0" w:sz="6" w:val="single"/>
              <w:bottom w:color="ffffff" w:space="0" w:sz="6" w:val="single"/>
              <w:right w:color="ffffff" w:space="0" w:sz="6" w:val="single"/>
            </w:tcBorders>
            <w:shd w:fill="e6f0f8" w:val="clear"/>
            <w:tcMar>
              <w:top w:w="110.0" w:type="dxa"/>
              <w:left w:w="120.0" w:type="dxa"/>
              <w:bottom w:w="110.0" w:type="dxa"/>
              <w:right w:w="120.0" w:type="dxa"/>
            </w:tcMar>
            <w:vAlign w:val="center"/>
          </w:tcPr>
          <w:p w14:paraId="00000054">
            <w:pPr>
              <w:spacing w:after="25" w:line="285" w:lineRule="auto"/>
              <w:rPr>
                <w:rFonts w:ascii="Helvetica Neue" w:cs="Helvetica Neue" w:eastAsia="Helvetica Neue" w:hAnsi="Helvetica Neue"/>
              </w:rPr>
            </w:pPr>
            <w:r>
              <w:rPr>
                <w:rFonts w:ascii="Helvetica Neue" w:cs="Helvetica Neue" w:eastAsia="Helvetica Neue" w:hAnsi="Helvetica Neue"/>
                <w:color w:val="233447"/>
                <w:rtl w:val="0"/>
              </w:rPr>
              <w:t>UML-Überblick</w:t>
            </w:r>
          </w:p>
        </w:tc>
        <w:tc>
          <w:tcPr>
            <w:tcBorders>
              <w:top w:color="ffffff" w:space="0" w:sz="6" w:val="single"/>
              <w:left w:color="ffffff" w:space="0" w:sz="6" w:val="single"/>
              <w:bottom w:color="ffffff" w:space="0" w:sz="6" w:val="single"/>
              <w:right w:color="ffffff" w:space="0" w:sz="6" w:val="single"/>
            </w:tcBorders>
            <w:shd w:fill="ffffff" w:val="clear"/>
            <w:tcMar>
              <w:top w:w="110.0" w:type="dxa"/>
              <w:left w:w="120.0" w:type="dxa"/>
              <w:bottom w:w="110.0" w:type="dxa"/>
              <w:right w:w="120.0" w:type="dxa"/>
            </w:tcMar>
            <w:vAlign w:val="center"/>
          </w:tcPr>
          <w:p w14:paraId="00000055">
            <w:pPr>
              <w:spacing w:after="25" w:line="285" w:lineRule="auto"/>
              <w:rPr>
                <w:rFonts w:ascii="Helvetica Neue" w:cs="Helvetica Neue" w:eastAsia="Helvetica Neue" w:hAnsi="Helvetica Neue"/>
              </w:rPr>
            </w:pPr>
            <w:r>
              <w:rPr>
                <w:rFonts w:ascii="Helvetica Neue" w:cs="Helvetica Neue" w:eastAsia="Helvetica Neue" w:hAnsi="Helvetica Neue"/>
                <w:color w:val="233447"/>
                <w:rtl w:val="0"/>
              </w:rPr>
              <w:t>Welche Struktur oder welches Verhalten soll gezeigt werden?</w:t>
            </w:r>
          </w:p>
        </w:tc>
        <w:tc>
          <w:tcPr>
            <w:tcBorders>
              <w:top w:color="ffffff" w:space="0" w:sz="6" w:val="single"/>
              <w:left w:color="ffffff" w:space="0" w:sz="6" w:val="single"/>
              <w:bottom w:color="ffffff" w:space="0" w:sz="6" w:val="single"/>
              <w:right w:color="ffffff" w:space="0" w:sz="6" w:val="single"/>
            </w:tcBorders>
            <w:shd w:fill="ffffff" w:val="clear"/>
            <w:tcMar>
              <w:top w:w="110.0" w:type="dxa"/>
              <w:left w:w="120.0" w:type="dxa"/>
              <w:bottom w:w="110.0" w:type="dxa"/>
              <w:right w:w="120.0" w:type="dxa"/>
            </w:tcMar>
            <w:vAlign w:val="center"/>
          </w:tcPr>
          <w:p w14:paraId="00000056">
            <w:pPr>
              <w:spacing w:after="25" w:line="285" w:lineRule="auto"/>
              <w:rPr>
                <w:rFonts w:ascii="Helvetica Neue" w:cs="Helvetica Neue" w:eastAsia="Helvetica Neue" w:hAnsi="Helvetica Neue"/>
              </w:rPr>
            </w:pPr>
            <w:r>
              <w:rPr>
                <w:rFonts w:ascii="Helvetica Neue" w:cs="Helvetica Neue" w:eastAsia="Helvetica Neue" w:hAnsi="Helvetica Neue"/>
                <w:color w:val="233447"/>
                <w:rtl w:val="0"/>
              </w:rPr>
              <w:t>Struktur- und Verhaltensdiagramme; gemeinsames UML-Vokabular.</w:t>
            </w:r>
          </w:p>
        </w:tc>
        <w:tc>
          <w:tcPr>
            <w:tcBorders>
              <w:top w:color="ffffff" w:space="0" w:sz="6" w:val="single"/>
              <w:left w:color="ffffff" w:space="0" w:sz="6" w:val="single"/>
              <w:bottom w:color="ffffff" w:space="0" w:sz="6" w:val="single"/>
              <w:right w:color="ffffff" w:space="0" w:sz="6" w:val="single"/>
            </w:tcBorders>
            <w:shd w:fill="ffffff" w:val="clear"/>
            <w:tcMar>
              <w:top w:w="110.0" w:type="dxa"/>
              <w:left w:w="120.0" w:type="dxa"/>
              <w:bottom w:w="110.0" w:type="dxa"/>
              <w:right w:w="120.0" w:type="dxa"/>
            </w:tcMar>
            <w:vAlign w:val="center"/>
          </w:tcPr>
          <w:p w14:paraId="00000057">
            <w:pPr>
              <w:spacing w:after="25" w:line="285" w:lineRule="auto"/>
              <w:rPr>
                <w:rFonts w:ascii="Helvetica Neue" w:cs="Helvetica Neue" w:eastAsia="Helvetica Neue" w:hAnsi="Helvetica Neue"/>
              </w:rPr>
            </w:pPr>
            <w:r>
              <w:rPr>
                <w:rFonts w:ascii="Helvetica Neue" w:cs="Helvetica Neue" w:eastAsia="Helvetica Neue" w:hAnsi="Helvetica Neue"/>
                <w:color w:val="233447"/>
                <w:rtl w:val="0"/>
              </w:rPr>
              <w:t>Diagrammtyp anhand der Fragestellung auswählen.</w:t>
            </w:r>
          </w:p>
        </w:tc>
      </w:tr>
      <w:tr>
        <w:trPr>
          <w:cantSplit w:val="1"/>
          <w:tblHeader w:val="0"/>
        </w:trPr>
        <w:tc>
          <w:tcPr>
            <w:tcBorders>
              <w:top w:color="ffffff" w:space="0" w:sz="6" w:val="single"/>
              <w:left w:color="ffffff" w:space="0" w:sz="6" w:val="single"/>
              <w:bottom w:color="ffffff" w:space="0" w:sz="6" w:val="single"/>
              <w:right w:color="ffffff" w:space="0" w:sz="6" w:val="single"/>
            </w:tcBorders>
            <w:shd w:fill="e6f0f8" w:val="clear"/>
            <w:tcMar>
              <w:top w:w="110.0" w:type="dxa"/>
              <w:left w:w="120.0" w:type="dxa"/>
              <w:bottom w:w="110.0" w:type="dxa"/>
              <w:right w:w="120.0" w:type="dxa"/>
            </w:tcMar>
            <w:vAlign w:val="center"/>
          </w:tcPr>
          <w:p w14:paraId="00000044">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UML Use Case</w:t>
            </w:r>
          </w:p>
        </w:tc>
        <w:tc>
          <w:tcPr>
            <w:tcBorders>
              <w:top w:color="ffffff" w:space="0" w:sz="6" w:val="single"/>
              <w:left w:color="ffffff" w:space="0" w:sz="6" w:val="single"/>
              <w:bottom w:color="ffffff" w:space="0" w:sz="6" w:val="single"/>
              <w:right w:color="ffffff" w:space="0" w:sz="6" w:val="single"/>
            </w:tcBorders>
            <w:shd w:fill="ffffff" w:val="clear"/>
            <w:tcMar>
              <w:top w:w="110.0" w:type="dxa"/>
              <w:left w:w="120.0" w:type="dxa"/>
              <w:bottom w:w="110.0" w:type="dxa"/>
              <w:right w:w="120.0" w:type="dxa"/>
            </w:tcMar>
            <w:vAlign w:val="center"/>
          </w:tcPr>
          <w:p w14:paraId="00000045">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Wer verfolgt welches Ziel am System? Funktionssicht.</w:t>
            </w:r>
          </w:p>
        </w:tc>
        <w:tc>
          <w:tcPr>
            <w:tcBorders>
              <w:top w:color="ffffff" w:space="0" w:sz="6" w:val="single"/>
              <w:left w:color="ffffff" w:space="0" w:sz="6" w:val="single"/>
              <w:bottom w:color="ffffff" w:space="0" w:sz="6" w:val="single"/>
              <w:right w:color="ffffff" w:space="0" w:sz="6" w:val="single"/>
            </w:tcBorders>
            <w:shd w:fill="ffffff" w:val="clear"/>
            <w:tcMar>
              <w:top w:w="110.0" w:type="dxa"/>
              <w:left w:w="120.0" w:type="dxa"/>
              <w:bottom w:w="110.0" w:type="dxa"/>
              <w:right w:w="120.0" w:type="dxa"/>
            </w:tcMar>
            <w:vAlign w:val="center"/>
          </w:tcPr>
          <w:p w14:paraId="00000046">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Akteure, Anwendungsfälle, Systemgrenze und Beziehungen.</w:t>
            </w:r>
          </w:p>
        </w:tc>
        <w:tc>
          <w:tcPr>
            <w:tcBorders>
              <w:top w:color="ffffff" w:space="0" w:sz="6" w:val="single"/>
              <w:left w:color="ffffff" w:space="0" w:sz="6" w:val="single"/>
              <w:bottom w:color="ffffff" w:space="0" w:sz="6" w:val="single"/>
              <w:right w:color="ffffff" w:space="0" w:sz="6" w:val="single"/>
            </w:tcBorders>
            <w:shd w:fill="ffffff" w:val="clear"/>
            <w:tcMar>
              <w:top w:w="110.0" w:type="dxa"/>
              <w:left w:w="120.0" w:type="dxa"/>
              <w:bottom w:w="110.0" w:type="dxa"/>
              <w:right w:w="120.0" w:type="dxa"/>
            </w:tcMar>
            <w:vAlign w:val="center"/>
          </w:tcPr>
          <w:p w14:paraId="00000047">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Nutzerziele statt technische Einzelschritte modellieren.</w:t>
            </w:r>
          </w:p>
        </w:tc>
      </w:tr>
      <w:tr>
        <w:trPr>
          <w:cantSplit w:val="1"/>
          <w:tblHeader w:val="0"/>
        </w:trPr>
        <w:tc>
          <w:tcPr>
            <w:tcBorders>
              <w:top w:color="ffffff" w:space="0" w:sz="6" w:val="single"/>
              <w:left w:color="ffffff" w:space="0" w:sz="6" w:val="single"/>
              <w:bottom w:color="ffffff" w:space="0" w:sz="6" w:val="single"/>
              <w:right w:color="ffffff" w:space="0" w:sz="6" w:val="single"/>
            </w:tcBorders>
            <w:shd w:fill="e6f0f8" w:val="clear"/>
            <w:tcMar>
              <w:top w:w="110.0" w:type="dxa"/>
              <w:left w:w="120.0" w:type="dxa"/>
              <w:bottom w:w="110.0" w:type="dxa"/>
              <w:right w:w="120.0" w:type="dxa"/>
            </w:tcMar>
            <w:vAlign w:val="center"/>
          </w:tcPr>
          <w:p w14:paraId="00000048">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UML-Aktivität</w:t>
            </w:r>
          </w:p>
        </w:tc>
        <w:tc>
          <w:tcPr>
            <w:tcBorders>
              <w:top w:color="ffffff" w:space="0" w:sz="6" w:val="single"/>
              <w:left w:color="ffffff" w:space="0" w:sz="6" w:val="single"/>
              <w:bottom w:color="ffffff" w:space="0" w:sz="6" w:val="single"/>
              <w:right w:color="ffffff" w:space="0" w:sz="6" w:val="single"/>
            </w:tcBorders>
            <w:shd w:fill="f6f9fc" w:val="clear"/>
            <w:tcMar>
              <w:top w:w="110.0" w:type="dxa"/>
              <w:left w:w="120.0" w:type="dxa"/>
              <w:bottom w:w="110.0" w:type="dxa"/>
              <w:right w:w="120.0" w:type="dxa"/>
            </w:tcMar>
            <w:vAlign w:val="center"/>
          </w:tcPr>
          <w:p w14:paraId="00000049">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Wie fließt Verhalten durch Aktionen und Entscheidungen? Prozesssicht.</w:t>
            </w:r>
          </w:p>
        </w:tc>
        <w:tc>
          <w:tcPr>
            <w:tcBorders>
              <w:top w:color="ffffff" w:space="0" w:sz="6" w:val="single"/>
              <w:left w:color="ffffff" w:space="0" w:sz="6" w:val="single"/>
              <w:bottom w:color="ffffff" w:space="0" w:sz="6" w:val="single"/>
              <w:right w:color="ffffff" w:space="0" w:sz="6" w:val="single"/>
            </w:tcBorders>
            <w:shd w:fill="f6f9fc" w:val="clear"/>
            <w:tcMar>
              <w:top w:w="110.0" w:type="dxa"/>
              <w:left w:w="120.0" w:type="dxa"/>
              <w:bottom w:w="110.0" w:type="dxa"/>
              <w:right w:w="120.0" w:type="dxa"/>
            </w:tcMar>
            <w:vAlign w:val="center"/>
          </w:tcPr>
          <w:p w14:paraId="0000004A">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Aktionen, Kontrollflüsse, Entscheidung/Zusammenführung, Fork/Join und ggf. Swimlanes.</w:t>
            </w:r>
          </w:p>
        </w:tc>
        <w:tc>
          <w:tcPr>
            <w:tcBorders>
              <w:top w:color="ffffff" w:space="0" w:sz="6" w:val="single"/>
              <w:left w:color="ffffff" w:space="0" w:sz="6" w:val="single"/>
              <w:bottom w:color="ffffff" w:space="0" w:sz="6" w:val="single"/>
              <w:right w:color="ffffff" w:space="0" w:sz="6" w:val="single"/>
            </w:tcBorders>
            <w:shd w:fill="f6f9fc" w:val="clear"/>
            <w:tcMar>
              <w:top w:w="110.0" w:type="dxa"/>
              <w:left w:w="120.0" w:type="dxa"/>
              <w:bottom w:w="110.0" w:type="dxa"/>
              <w:right w:w="120.0" w:type="dxa"/>
            </w:tcMar>
            <w:vAlign w:val="center"/>
          </w:tcPr>
          <w:p w14:paraId="0000004B">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Ablauf, Alternativen und Parallelität ohne EPK-Mischnotation darstellen.</w:t>
            </w:r>
          </w:p>
        </w:tc>
      </w:tr>
      <w:tr>
        <w:trPr>
          <w:cantSplit w:val="1"/>
          <w:tblHeader w:val="0"/>
        </w:trPr>
        <w:tc>
          <w:tcPr>
            <w:tcBorders>
              <w:top w:color="ffffff" w:space="0" w:sz="6" w:val="single"/>
              <w:left w:color="ffffff" w:space="0" w:sz="6" w:val="single"/>
              <w:bottom w:color="ffffff" w:space="0" w:sz="6" w:val="single"/>
              <w:right w:color="ffffff" w:space="0" w:sz="6" w:val="single"/>
            </w:tcBorders>
            <w:shd w:fill="e6f0f8" w:val="clear"/>
            <w:tcMar>
              <w:top w:w="110.0" w:type="dxa"/>
              <w:left w:w="120.0" w:type="dxa"/>
              <w:bottom w:w="110.0" w:type="dxa"/>
              <w:right w:w="120.0" w:type="dxa"/>
            </w:tcMar>
            <w:vAlign w:val="center"/>
          </w:tcPr>
          <w:p w14:paraId="0000004C">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UML-Klasse</w:t>
            </w:r>
          </w:p>
        </w:tc>
        <w:tc>
          <w:tcPr>
            <w:tcBorders>
              <w:top w:color="ffffff" w:space="0" w:sz="6" w:val="single"/>
              <w:left w:color="ffffff" w:space="0" w:sz="6" w:val="single"/>
              <w:bottom w:color="ffffff" w:space="0" w:sz="6" w:val="single"/>
              <w:right w:color="ffffff" w:space="0" w:sz="6" w:val="single"/>
            </w:tcBorders>
            <w:shd w:fill="ffffff" w:val="clear"/>
            <w:tcMar>
              <w:top w:w="110.0" w:type="dxa"/>
              <w:left w:w="120.0" w:type="dxa"/>
              <w:bottom w:w="110.0" w:type="dxa"/>
              <w:right w:w="120.0" w:type="dxa"/>
            </w:tcMar>
            <w:vAlign w:val="center"/>
          </w:tcPr>
          <w:p w14:paraId="0000004D">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Welche statischen Strukturen und Beziehungen bestehen? Daten-/Funktionssicht.</w:t>
            </w:r>
          </w:p>
        </w:tc>
        <w:tc>
          <w:tcPr>
            <w:tcBorders>
              <w:top w:color="ffffff" w:space="0" w:sz="6" w:val="single"/>
              <w:left w:color="ffffff" w:space="0" w:sz="6" w:val="single"/>
              <w:bottom w:color="ffffff" w:space="0" w:sz="6" w:val="single"/>
              <w:right w:color="ffffff" w:space="0" w:sz="6" w:val="single"/>
            </w:tcBorders>
            <w:shd w:fill="ffffff" w:val="clear"/>
            <w:tcMar>
              <w:top w:w="110.0" w:type="dxa"/>
              <w:left w:w="120.0" w:type="dxa"/>
              <w:bottom w:w="110.0" w:type="dxa"/>
              <w:right w:w="120.0" w:type="dxa"/>
            </w:tcMar>
            <w:vAlign w:val="center"/>
          </w:tcPr>
          <w:p w14:paraId="0000004E">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Klassen, Attribute, Operationen, Assoziationen, Multiplizitäten und Vererbung.</w:t>
            </w:r>
          </w:p>
        </w:tc>
        <w:tc>
          <w:tcPr>
            <w:tcBorders>
              <w:top w:color="ffffff" w:space="0" w:sz="6" w:val="single"/>
              <w:left w:color="ffffff" w:space="0" w:sz="6" w:val="single"/>
              <w:bottom w:color="ffffff" w:space="0" w:sz="6" w:val="single"/>
              <w:right w:color="ffffff" w:space="0" w:sz="6" w:val="single"/>
            </w:tcBorders>
            <w:shd w:fill="ffffff" w:val="clear"/>
            <w:tcMar>
              <w:top w:w="110.0" w:type="dxa"/>
              <w:left w:w="120.0" w:type="dxa"/>
              <w:bottom w:w="110.0" w:type="dxa"/>
              <w:right w:w="120.0" w:type="dxa"/>
            </w:tcMar>
            <w:vAlign w:val="center"/>
          </w:tcPr>
          <w:p w14:paraId="0000004F">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Begriffe konsistent mit ERM und Use Cases verwenden.</w:t>
            </w:r>
          </w:p>
        </w:tc>
      </w:tr>
      <w:tr>
        <w:trPr>
          <w:cantSplit w:val="1"/>
          <w:tblHeader w:val="0"/>
        </w:trPr>
        <w:tc>
          <w:tcPr>
            <w:tcBorders>
              <w:top w:color="ffffff" w:space="0" w:sz="6" w:val="single"/>
              <w:left w:color="ffffff" w:space="0" w:sz="6" w:val="single"/>
              <w:bottom w:color="ffffff" w:space="0" w:sz="6" w:val="single"/>
              <w:right w:color="ffffff" w:space="0" w:sz="6" w:val="single"/>
            </w:tcBorders>
            <w:shd w:fill="e6f0f8" w:val="clear"/>
            <w:tcMar>
              <w:top w:w="110.0" w:type="dxa"/>
              <w:left w:w="120.0" w:type="dxa"/>
              <w:bottom w:w="110.0" w:type="dxa"/>
              <w:right w:w="120.0" w:type="dxa"/>
            </w:tcMar>
            <w:vAlign w:val="center"/>
          </w:tcPr>
          <w:p w14:paraId="00000050">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UML-Sequenz</w:t>
            </w:r>
          </w:p>
        </w:tc>
        <w:tc>
          <w:tcPr>
            <w:tcBorders>
              <w:top w:color="ffffff" w:space="0" w:sz="6" w:val="single"/>
              <w:left w:color="ffffff" w:space="0" w:sz="6" w:val="single"/>
              <w:bottom w:color="ffffff" w:space="0" w:sz="6" w:val="single"/>
              <w:right w:color="ffffff" w:space="0" w:sz="6" w:val="single"/>
            </w:tcBorders>
            <w:shd w:fill="f6f9fc" w:val="clear"/>
            <w:tcMar>
              <w:top w:w="110.0" w:type="dxa"/>
              <w:left w:w="120.0" w:type="dxa"/>
              <w:bottom w:w="110.0" w:type="dxa"/>
              <w:right w:w="120.0" w:type="dxa"/>
            </w:tcMar>
            <w:vAlign w:val="center"/>
          </w:tcPr>
          <w:p w14:paraId="00000051">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Welche Objekte tauschen Nachrichten in welcher Zeitfolge aus? Prozesssicht.</w:t>
            </w:r>
          </w:p>
        </w:tc>
        <w:tc>
          <w:tcPr>
            <w:tcBorders>
              <w:top w:color="ffffff" w:space="0" w:sz="6" w:val="single"/>
              <w:left w:color="ffffff" w:space="0" w:sz="6" w:val="single"/>
              <w:bottom w:color="ffffff" w:space="0" w:sz="6" w:val="single"/>
              <w:right w:color="ffffff" w:space="0" w:sz="6" w:val="single"/>
            </w:tcBorders>
            <w:shd w:fill="f6f9fc" w:val="clear"/>
            <w:tcMar>
              <w:top w:w="110.0" w:type="dxa"/>
              <w:left w:w="120.0" w:type="dxa"/>
              <w:bottom w:w="110.0" w:type="dxa"/>
              <w:right w:w="120.0" w:type="dxa"/>
            </w:tcMar>
            <w:vAlign w:val="center"/>
          </w:tcPr>
          <w:p w14:paraId="00000052">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Lebenslinien, Nachrichten, Aktivierungen und kombinierte Fragmente.</w:t>
            </w:r>
          </w:p>
        </w:tc>
        <w:tc>
          <w:tcPr>
            <w:tcBorders>
              <w:top w:color="ffffff" w:space="0" w:sz="6" w:val="single"/>
              <w:left w:color="ffffff" w:space="0" w:sz="6" w:val="single"/>
              <w:bottom w:color="ffffff" w:space="0" w:sz="6" w:val="single"/>
              <w:right w:color="ffffff" w:space="0" w:sz="6" w:val="single"/>
            </w:tcBorders>
            <w:shd w:fill="f6f9fc" w:val="clear"/>
            <w:tcMar>
              <w:top w:w="110.0" w:type="dxa"/>
              <w:left w:w="120.0" w:type="dxa"/>
              <w:bottom w:w="110.0" w:type="dxa"/>
              <w:right w:w="120.0" w:type="dxa"/>
            </w:tcMar>
            <w:vAlign w:val="center"/>
          </w:tcPr>
          <w:p w14:paraId="00000053">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Interaktion für ein konkretes Szenario schrittweise erklären.</w:t>
            </w:r>
          </w:p>
        </w:tc>
      </w:tr>
    </w:tbl>
    <w:p>
      <w:pPr>
        <w:spacing w:after="60"/>
      </w:pPr>
    </w:p>
    <w:p>
      <w:pPr>
        <w:pStyle w:val="Heading1"/>
        <w:keepNext/>
        <w:pageBreakBefore w:val="0"/>
      </w:pPr>
      <w:r>
        <w:rPr>
          <w:rFonts w:ascii="Helvetica Neue" w:hAnsi="Helvetica Neue"/>
          <w:color w:val="082A4A"/>
        </w:rPr>
        <w:t>8.  EPK-Vertiefung</w:t>
      </w:r>
    </w:p>
    <w:p>
      <w:pPr>
        <w:keepLines w:val="0"/>
        <w:spacing w:before="0" w:after="110" w:line="300" w:lineRule="auto"/>
        <w:jc w:val="both"/>
      </w:pPr>
      <w:r>
        <w:rPr>
          <w:rFonts w:ascii="Helvetica Neue" w:hAnsi="Helvetica Neue"/>
          <w:color w:val="233447"/>
          <w:sz w:val="21"/>
        </w:rPr>
        <w:t>Die EPK ist in den vorhandenen Unterlagen vollständig ausgearbeitet und bildet deshalb den ersten Prüfstein. Sie dient der grafischen Darstellung, Analyse, Dokumentation und Optimierung von Geschäftsprozessen. EPK ist leicht zugänglich und in Deutschland verbreitet, kann bei langen Ereignis-/Funktionsfolgen aber schnell umfangreich werden.</w:t>
      </w:r>
    </w:p>
    <w:p>
      <w:pPr>
        <w:pStyle w:val="Heading2"/>
        <w:keepNext/>
        <w:spacing w:before="160" w:after="80"/>
      </w:pPr>
      <w:r>
        <w:rPr>
          <w:rFonts w:ascii="Helvetica Neue" w:hAnsi="Helvetica Neue"/>
          <w:b/>
          <w:color w:val="5B7085"/>
          <w:sz w:val="21"/>
        </w:rPr>
        <w:t>Sprachkonstrukte</w:t>
      </w:r>
    </w:p>
    <w:tbl>
      <w:tblPr>
        <w:tblStyle w:val="Table6"/>
        <w:tblW w:w="10440.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00"/>
      </w:tblPr>
      <w:tblGrid>
        <w:gridCol w:w="3337"/>
        <w:gridCol w:w="3722"/>
        <w:gridCol w:w="3381"/>
        <w:tblGridChange w:id="0">
          <w:tblGrid>
            <w:gridCol w:w="3337"/>
            <w:gridCol w:w="3722"/>
            <w:gridCol w:w="3381"/>
          </w:tblGrid>
        </w:tblGridChange>
      </w:tblGrid>
      <w:tr>
        <w:trPr>
          <w:cantSplit w:val="1"/>
          <w:tblHeader w:val="1"/>
        </w:trPr>
        <w:tc>
          <w:tcPr>
            <w:tcBorders>
              <w:top w:color="ffffff" w:space="0" w:sz="6" w:val="single"/>
              <w:left w:color="ffffff" w:space="0" w:sz="6" w:val="single"/>
              <w:bottom w:color="ffffff" w:space="0" w:sz="6" w:val="single"/>
              <w:right w:color="ffffff" w:space="0" w:sz="6" w:val="single"/>
            </w:tcBorders>
            <w:shd w:fill="082a4a" w:val="clear"/>
            <w:tcMar>
              <w:top w:w="110.0" w:type="dxa"/>
              <w:left w:w="120.0" w:type="dxa"/>
              <w:bottom w:w="110.0" w:type="dxa"/>
              <w:right w:w="120.0" w:type="dxa"/>
            </w:tcMar>
            <w:vAlign w:val="center"/>
          </w:tcPr>
          <w:p w14:paraId="00000093">
            <w:pPr>
              <w:spacing w:after="0" w:before="20" w:line="265" w:lineRule="auto"/>
              <w:rPr>
                <w:rFonts w:ascii="Helvetica Neue" w:cs="Helvetica Neue" w:eastAsia="Helvetica Neue" w:hAnsi="Helvetica Neue"/>
              </w:rPr>
            </w:pPr>
            <w:r>
              <w:rPr>
                <w:rFonts w:ascii="Helvetica Neue" w:cs="Helvetica Neue" w:eastAsia="Helvetica Neue" w:hAnsi="Helvetica Neue"/>
                <w:b w:val="1"/>
                <w:bCs w:val="1"/>
                <w:color w:val="ffffff"/>
                <w:rtl w:val="0"/>
              </w:rPr>
              <w:t>Element</w:t>
            </w:r>
          </w:p>
        </w:tc>
        <w:tc>
          <w:tcPr>
            <w:tcBorders>
              <w:top w:color="ffffff" w:space="0" w:sz="6" w:val="single"/>
              <w:left w:color="ffffff" w:space="0" w:sz="6" w:val="single"/>
              <w:bottom w:color="ffffff" w:space="0" w:sz="6" w:val="single"/>
              <w:right w:color="ffffff" w:space="0" w:sz="6" w:val="single"/>
            </w:tcBorders>
            <w:shd w:fill="082a4a" w:val="clear"/>
            <w:tcMar>
              <w:top w:w="110.0" w:type="dxa"/>
              <w:left w:w="120.0" w:type="dxa"/>
              <w:bottom w:w="110.0" w:type="dxa"/>
              <w:right w:w="120.0" w:type="dxa"/>
            </w:tcMar>
            <w:vAlign w:val="center"/>
          </w:tcPr>
          <w:p w14:paraId="00000094">
            <w:pPr>
              <w:spacing w:after="0" w:before="20" w:line="265" w:lineRule="auto"/>
              <w:rPr>
                <w:rFonts w:ascii="Helvetica Neue" w:cs="Helvetica Neue" w:eastAsia="Helvetica Neue" w:hAnsi="Helvetica Neue"/>
              </w:rPr>
            </w:pPr>
            <w:r>
              <w:rPr>
                <w:rFonts w:ascii="Helvetica Neue" w:cs="Helvetica Neue" w:eastAsia="Helvetica Neue" w:hAnsi="Helvetica Neue"/>
                <w:b w:val="1"/>
                <w:bCs w:val="1"/>
                <w:color w:val="ffffff"/>
                <w:rtl w:val="0"/>
              </w:rPr>
              <w:t>Erkennungsregel</w:t>
            </w:r>
          </w:p>
        </w:tc>
        <w:tc>
          <w:tcPr>
            <w:tcBorders>
              <w:top w:color="ffffff" w:space="0" w:sz="6" w:val="single"/>
              <w:left w:color="ffffff" w:space="0" w:sz="6" w:val="single"/>
              <w:bottom w:color="ffffff" w:space="0" w:sz="6" w:val="single"/>
              <w:right w:color="ffffff" w:space="0" w:sz="6" w:val="single"/>
            </w:tcBorders>
            <w:shd w:fill="082a4a" w:val="clear"/>
            <w:tcMar>
              <w:top w:w="110.0" w:type="dxa"/>
              <w:left w:w="120.0" w:type="dxa"/>
              <w:bottom w:w="110.0" w:type="dxa"/>
              <w:right w:w="120.0" w:type="dxa"/>
            </w:tcMar>
            <w:vAlign w:val="center"/>
          </w:tcPr>
          <w:p w14:paraId="00000095">
            <w:pPr>
              <w:spacing w:after="0" w:before="20" w:line="265" w:lineRule="auto"/>
              <w:rPr>
                <w:rFonts w:ascii="Helvetica Neue" w:cs="Helvetica Neue" w:eastAsia="Helvetica Neue" w:hAnsi="Helvetica Neue"/>
              </w:rPr>
            </w:pPr>
            <w:r>
              <w:rPr>
                <w:rFonts w:ascii="Helvetica Neue" w:cs="Helvetica Neue" w:eastAsia="Helvetica Neue" w:hAnsi="Helvetica Neue"/>
                <w:b w:val="1"/>
                <w:bCs w:val="1"/>
                <w:color w:val="ffffff"/>
                <w:rtl w:val="0"/>
              </w:rPr>
              <w:t>Beispiel / Qualitätsfrage</w:t>
            </w:r>
          </w:p>
        </w:tc>
      </w:tr>
      <w:tr>
        <w:trPr>
          <w:cantSplit w:val="1"/>
          <w:tblHeader w:val="0"/>
        </w:trPr>
        <w:tc>
          <w:tcPr>
            <w:tcBorders>
              <w:top w:color="ffffff" w:space="0" w:sz="6" w:val="single"/>
              <w:left w:color="ffffff" w:space="0" w:sz="6" w:val="single"/>
              <w:bottom w:color="ffffff" w:space="0" w:sz="6" w:val="single"/>
              <w:right w:color="ffffff" w:space="0" w:sz="6" w:val="single"/>
            </w:tcBorders>
            <w:shd w:fill="e6f0f8" w:val="clear"/>
            <w:tcMar>
              <w:top w:w="110.0" w:type="dxa"/>
              <w:left w:w="120.0" w:type="dxa"/>
              <w:bottom w:w="110.0" w:type="dxa"/>
              <w:right w:w="120.0" w:type="dxa"/>
            </w:tcMar>
            <w:vAlign w:val="center"/>
          </w:tcPr>
          <w:p w14:paraId="00000096">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Ereignis</w:t>
            </w:r>
          </w:p>
        </w:tc>
        <w:tc>
          <w:tcPr>
            <w:tcBorders>
              <w:top w:color="ffffff" w:space="0" w:sz="6" w:val="single"/>
              <w:left w:color="ffffff" w:space="0" w:sz="6" w:val="single"/>
              <w:bottom w:color="ffffff" w:space="0" w:sz="6" w:val="single"/>
              <w:right w:color="ffffff" w:space="0" w:sz="6" w:val="single"/>
            </w:tcBorders>
            <w:shd w:fill="ffffff" w:val="clear"/>
            <w:tcMar>
              <w:top w:w="110.0" w:type="dxa"/>
              <w:left w:w="120.0" w:type="dxa"/>
              <w:bottom w:w="110.0" w:type="dxa"/>
              <w:right w:w="120.0" w:type="dxa"/>
            </w:tcMar>
            <w:vAlign w:val="center"/>
          </w:tcPr>
          <w:p w14:paraId="00000097">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Passiver Zustand oder eingetretene Bedingung; kein Tun.</w:t>
            </w:r>
          </w:p>
        </w:tc>
        <w:tc>
          <w:tcPr>
            <w:tcBorders>
              <w:top w:color="ffffff" w:space="0" w:sz="6" w:val="single"/>
              <w:left w:color="ffffff" w:space="0" w:sz="6" w:val="single"/>
              <w:bottom w:color="ffffff" w:space="0" w:sz="6" w:val="single"/>
              <w:right w:color="ffffff" w:space="0" w:sz="6" w:val="single"/>
            </w:tcBorders>
            <w:shd w:fill="ffffff" w:val="clear"/>
            <w:tcMar>
              <w:top w:w="110.0" w:type="dxa"/>
              <w:left w:w="120.0" w:type="dxa"/>
              <w:bottom w:w="110.0" w:type="dxa"/>
              <w:right w:w="120.0" w:type="dxa"/>
            </w:tcMar>
            <w:vAlign w:val="center"/>
          </w:tcPr>
          <w:p w14:paraId="00000098">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Bestellung eingegangen. Ist die Formulierung zustandsorientiert?</w:t>
            </w:r>
          </w:p>
        </w:tc>
      </w:tr>
      <w:tr>
        <w:trPr>
          <w:cantSplit w:val="1"/>
          <w:tblHeader w:val="0"/>
        </w:trPr>
        <w:tc>
          <w:tcPr>
            <w:tcBorders>
              <w:top w:color="ffffff" w:space="0" w:sz="6" w:val="single"/>
              <w:left w:color="ffffff" w:space="0" w:sz="6" w:val="single"/>
              <w:bottom w:color="ffffff" w:space="0" w:sz="6" w:val="single"/>
              <w:right w:color="ffffff" w:space="0" w:sz="6" w:val="single"/>
            </w:tcBorders>
            <w:shd w:fill="e6f0f8" w:val="clear"/>
            <w:tcMar>
              <w:top w:w="110.0" w:type="dxa"/>
              <w:left w:w="120.0" w:type="dxa"/>
              <w:bottom w:w="110.0" w:type="dxa"/>
              <w:right w:w="120.0" w:type="dxa"/>
            </w:tcMar>
            <w:vAlign w:val="center"/>
          </w:tcPr>
          <w:p w14:paraId="00000099">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Funktion</w:t>
            </w:r>
          </w:p>
        </w:tc>
        <w:tc>
          <w:tcPr>
            <w:tcBorders>
              <w:top w:color="ffffff" w:space="0" w:sz="6" w:val="single"/>
              <w:left w:color="ffffff" w:space="0" w:sz="6" w:val="single"/>
              <w:bottom w:color="ffffff" w:space="0" w:sz="6" w:val="single"/>
              <w:right w:color="ffffff" w:space="0" w:sz="6" w:val="single"/>
            </w:tcBorders>
            <w:shd w:fill="f6f9fc" w:val="clear"/>
            <w:tcMar>
              <w:top w:w="110.0" w:type="dxa"/>
              <w:left w:w="120.0" w:type="dxa"/>
              <w:bottom w:w="110.0" w:type="dxa"/>
              <w:right w:w="120.0" w:type="dxa"/>
            </w:tcMar>
            <w:vAlign w:val="center"/>
          </w:tcPr>
          <w:p w14:paraId="0000009A">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Aktive Tätigkeit; sinnvoll mit Verb benannt.</w:t>
            </w:r>
          </w:p>
        </w:tc>
        <w:tc>
          <w:tcPr>
            <w:tcBorders>
              <w:top w:color="ffffff" w:space="0" w:sz="6" w:val="single"/>
              <w:left w:color="ffffff" w:space="0" w:sz="6" w:val="single"/>
              <w:bottom w:color="ffffff" w:space="0" w:sz="6" w:val="single"/>
              <w:right w:color="ffffff" w:space="0" w:sz="6" w:val="single"/>
            </w:tcBorders>
            <w:shd w:fill="f6f9fc" w:val="clear"/>
            <w:tcMar>
              <w:top w:w="110.0" w:type="dxa"/>
              <w:left w:w="120.0" w:type="dxa"/>
              <w:bottom w:w="110.0" w:type="dxa"/>
              <w:right w:w="120.0" w:type="dxa"/>
            </w:tcMar>
            <w:vAlign w:val="center"/>
          </w:tcPr>
          <w:p w14:paraId="0000009B">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Bestellung prüfen. Wird tatsächlich etwas getan?</w:t>
            </w:r>
          </w:p>
        </w:tc>
      </w:tr>
      <w:tr>
        <w:trPr>
          <w:cantSplit w:val="1"/>
          <w:tblHeader w:val="0"/>
        </w:trPr>
        <w:tc>
          <w:tcPr>
            <w:tcBorders>
              <w:top w:color="ffffff" w:space="0" w:sz="6" w:val="single"/>
              <w:left w:color="ffffff" w:space="0" w:sz="6" w:val="single"/>
              <w:bottom w:color="ffffff" w:space="0" w:sz="6" w:val="single"/>
              <w:right w:color="ffffff" w:space="0" w:sz="6" w:val="single"/>
            </w:tcBorders>
            <w:shd w:fill="e6f0f8" w:val="clear"/>
            <w:tcMar>
              <w:top w:w="110.0" w:type="dxa"/>
              <w:left w:w="120.0" w:type="dxa"/>
              <w:bottom w:w="110.0" w:type="dxa"/>
              <w:right w:w="120.0" w:type="dxa"/>
            </w:tcMar>
            <w:vAlign w:val="center"/>
          </w:tcPr>
          <w:p w14:paraId="0000009C">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UND</w:t>
            </w:r>
          </w:p>
        </w:tc>
        <w:tc>
          <w:tcPr>
            <w:tcBorders>
              <w:top w:color="ffffff" w:space="0" w:sz="6" w:val="single"/>
              <w:left w:color="ffffff" w:space="0" w:sz="6" w:val="single"/>
              <w:bottom w:color="ffffff" w:space="0" w:sz="6" w:val="single"/>
              <w:right w:color="ffffff" w:space="0" w:sz="6" w:val="single"/>
            </w:tcBorders>
            <w:shd w:fill="ffffff" w:val="clear"/>
            <w:tcMar>
              <w:top w:w="110.0" w:type="dxa"/>
              <w:left w:w="120.0" w:type="dxa"/>
              <w:bottom w:w="110.0" w:type="dxa"/>
              <w:right w:w="120.0" w:type="dxa"/>
            </w:tcMar>
            <w:vAlign w:val="center"/>
          </w:tcPr>
          <w:p w14:paraId="0000009D">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Alle Zweige werden aktiviert bzw. müssen zusammengeführt sein.</w:t>
            </w:r>
          </w:p>
        </w:tc>
        <w:tc>
          <w:tcPr>
            <w:tcBorders>
              <w:top w:color="ffffff" w:space="0" w:sz="6" w:val="single"/>
              <w:left w:color="ffffff" w:space="0" w:sz="6" w:val="single"/>
              <w:bottom w:color="ffffff" w:space="0" w:sz="6" w:val="single"/>
              <w:right w:color="ffffff" w:space="0" w:sz="6" w:val="single"/>
            </w:tcBorders>
            <w:shd w:fill="ffffff" w:val="clear"/>
            <w:tcMar>
              <w:top w:w="110.0" w:type="dxa"/>
              <w:left w:w="120.0" w:type="dxa"/>
              <w:bottom w:w="110.0" w:type="dxa"/>
              <w:right w:w="120.0" w:type="dxa"/>
            </w:tcMar>
            <w:vAlign w:val="center"/>
          </w:tcPr>
          <w:p w14:paraId="0000009E">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Sind Parallelität und Synchronisation vollständig?</w:t>
            </w:r>
          </w:p>
        </w:tc>
      </w:tr>
      <w:tr>
        <w:trPr>
          <w:cantSplit w:val="1"/>
          <w:tblHeader w:val="0"/>
        </w:trPr>
        <w:tc>
          <w:tcPr>
            <w:tcBorders>
              <w:top w:color="ffffff" w:space="0" w:sz="6" w:val="single"/>
              <w:left w:color="ffffff" w:space="0" w:sz="6" w:val="single"/>
              <w:bottom w:color="ffffff" w:space="0" w:sz="6" w:val="single"/>
              <w:right w:color="ffffff" w:space="0" w:sz="6" w:val="single"/>
            </w:tcBorders>
            <w:shd w:fill="e6f0f8" w:val="clear"/>
            <w:tcMar>
              <w:top w:w="110.0" w:type="dxa"/>
              <w:left w:w="120.0" w:type="dxa"/>
              <w:bottom w:w="110.0" w:type="dxa"/>
              <w:right w:w="120.0" w:type="dxa"/>
            </w:tcMar>
            <w:vAlign w:val="center"/>
          </w:tcPr>
          <w:p w14:paraId="0000009F">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XOR</w:t>
            </w:r>
          </w:p>
        </w:tc>
        <w:tc>
          <w:tcPr>
            <w:tcBorders>
              <w:top w:color="ffffff" w:space="0" w:sz="6" w:val="single"/>
              <w:left w:color="ffffff" w:space="0" w:sz="6" w:val="single"/>
              <w:bottom w:color="ffffff" w:space="0" w:sz="6" w:val="single"/>
              <w:right w:color="ffffff" w:space="0" w:sz="6" w:val="single"/>
            </w:tcBorders>
            <w:shd w:fill="f6f9fc" w:val="clear"/>
            <w:tcMar>
              <w:top w:w="110.0" w:type="dxa"/>
              <w:left w:w="120.0" w:type="dxa"/>
              <w:bottom w:w="110.0" w:type="dxa"/>
              <w:right w:w="120.0" w:type="dxa"/>
            </w:tcMar>
            <w:vAlign w:val="center"/>
          </w:tcPr>
          <w:p w14:paraId="000000A0">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Genau ein Zweig wird gewählt.</w:t>
            </w:r>
          </w:p>
        </w:tc>
        <w:tc>
          <w:tcPr>
            <w:tcBorders>
              <w:top w:color="ffffff" w:space="0" w:sz="6" w:val="single"/>
              <w:left w:color="ffffff" w:space="0" w:sz="6" w:val="single"/>
              <w:bottom w:color="ffffff" w:space="0" w:sz="6" w:val="single"/>
              <w:right w:color="ffffff" w:space="0" w:sz="6" w:val="single"/>
            </w:tcBorders>
            <w:shd w:fill="f6f9fc" w:val="clear"/>
            <w:tcMar>
              <w:top w:w="110.0" w:type="dxa"/>
              <w:left w:w="120.0" w:type="dxa"/>
              <w:bottom w:w="110.0" w:type="dxa"/>
              <w:right w:w="120.0" w:type="dxa"/>
            </w:tcMar>
            <w:vAlign w:val="center"/>
          </w:tcPr>
          <w:p w14:paraId="000000A1">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Sind die Alternativen gegenseitig ausschließend?</w:t>
            </w:r>
          </w:p>
        </w:tc>
      </w:tr>
      <w:tr>
        <w:trPr>
          <w:cantSplit w:val="1"/>
          <w:tblHeader w:val="0"/>
        </w:trPr>
        <w:tc>
          <w:tcPr>
            <w:tcBorders>
              <w:top w:color="ffffff" w:space="0" w:sz="6" w:val="single"/>
              <w:left w:color="ffffff" w:space="0" w:sz="6" w:val="single"/>
              <w:bottom w:color="ffffff" w:space="0" w:sz="6" w:val="single"/>
              <w:right w:color="ffffff" w:space="0" w:sz="6" w:val="single"/>
            </w:tcBorders>
            <w:shd w:fill="e6f0f8" w:val="clear"/>
            <w:tcMar>
              <w:top w:w="110.0" w:type="dxa"/>
              <w:left w:w="120.0" w:type="dxa"/>
              <w:bottom w:w="110.0" w:type="dxa"/>
              <w:right w:w="120.0" w:type="dxa"/>
            </w:tcMar>
            <w:vAlign w:val="center"/>
          </w:tcPr>
          <w:p w14:paraId="00000096">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OR</w:t>
            </w:r>
          </w:p>
        </w:tc>
        <w:tc>
          <w:tcPr>
            <w:tcBorders>
              <w:top w:color="ffffff" w:space="0" w:sz="6" w:val="single"/>
              <w:left w:color="ffffff" w:space="0" w:sz="6" w:val="single"/>
              <w:bottom w:color="ffffff" w:space="0" w:sz="6" w:val="single"/>
              <w:right w:color="ffffff" w:space="0" w:sz="6" w:val="single"/>
            </w:tcBorders>
            <w:shd w:fill="ffffff" w:val="clear"/>
            <w:tcMar>
              <w:top w:w="110.0" w:type="dxa"/>
              <w:left w:w="120.0" w:type="dxa"/>
              <w:bottom w:w="110.0" w:type="dxa"/>
              <w:right w:w="120.0" w:type="dxa"/>
            </w:tcMar>
            <w:vAlign w:val="center"/>
          </w:tcPr>
          <w:p w14:paraId="00000097">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Mindestens ein, eventuell mehrere Zweige.</w:t>
            </w:r>
          </w:p>
        </w:tc>
        <w:tc>
          <w:tcPr>
            <w:tcBorders>
              <w:top w:color="ffffff" w:space="0" w:sz="6" w:val="single"/>
              <w:left w:color="ffffff" w:space="0" w:sz="6" w:val="single"/>
              <w:bottom w:color="ffffff" w:space="0" w:sz="6" w:val="single"/>
              <w:right w:color="ffffff" w:space="0" w:sz="6" w:val="single"/>
            </w:tcBorders>
            <w:shd w:fill="ffffff" w:val="clear"/>
            <w:tcMar>
              <w:top w:w="110.0" w:type="dxa"/>
              <w:left w:w="120.0" w:type="dxa"/>
              <w:bottom w:w="110.0" w:type="dxa"/>
              <w:right w:w="120.0" w:type="dxa"/>
            </w:tcMar>
            <w:vAlign w:val="center"/>
          </w:tcPr>
          <w:p w14:paraId="00000098">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Ist diese Mehrfachauswahl fachlich wirklich möglich?</w:t>
            </w:r>
          </w:p>
        </w:tc>
      </w:tr>
      <w:tr>
        <w:trPr>
          <w:cantSplit w:val="1"/>
          <w:tblHeader w:val="0"/>
        </w:trPr>
        <w:tc>
          <w:tcPr>
            <w:tcBorders>
              <w:top w:color="ffffff" w:space="0" w:sz="6" w:val="single"/>
              <w:left w:color="ffffff" w:space="0" w:sz="6" w:val="single"/>
              <w:bottom w:color="ffffff" w:space="0" w:sz="6" w:val="single"/>
              <w:right w:color="ffffff" w:space="0" w:sz="6" w:val="single"/>
            </w:tcBorders>
            <w:shd w:fill="e6f0f8" w:val="clear"/>
            <w:tcMar>
              <w:top w:w="110.0" w:type="dxa"/>
              <w:left w:w="120.0" w:type="dxa"/>
              <w:bottom w:w="110.0" w:type="dxa"/>
              <w:right w:w="120.0" w:type="dxa"/>
            </w:tcMar>
            <w:vAlign w:val="center"/>
          </w:tcPr>
          <w:p w14:paraId="00000099">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eEPK-Objekte</w:t>
            </w:r>
          </w:p>
        </w:tc>
        <w:tc>
          <w:tcPr>
            <w:tcBorders>
              <w:top w:color="ffffff" w:space="0" w:sz="6" w:val="single"/>
              <w:left w:color="ffffff" w:space="0" w:sz="6" w:val="single"/>
              <w:bottom w:color="ffffff" w:space="0" w:sz="6" w:val="single"/>
              <w:right w:color="ffffff" w:space="0" w:sz="6" w:val="single"/>
            </w:tcBorders>
            <w:shd w:fill="f6f9fc" w:val="clear"/>
            <w:tcMar>
              <w:top w:w="110.0" w:type="dxa"/>
              <w:left w:w="120.0" w:type="dxa"/>
              <w:bottom w:w="110.0" w:type="dxa"/>
              <w:right w:w="120.0" w:type="dxa"/>
            </w:tcMar>
            <w:vAlign w:val="center"/>
          </w:tcPr>
          <w:p w14:paraId="0000009A">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Organisation, Daten und Systeme werden Funktionen mit Linien zugeordnet; sie sind kein Kontrollfluss.</w:t>
            </w:r>
          </w:p>
        </w:tc>
        <w:tc>
          <w:tcPr>
            <w:tcBorders>
              <w:top w:color="ffffff" w:space="0" w:sz="6" w:val="single"/>
              <w:left w:color="ffffff" w:space="0" w:sz="6" w:val="single"/>
              <w:bottom w:color="ffffff" w:space="0" w:sz="6" w:val="single"/>
              <w:right w:color="ffffff" w:space="0" w:sz="6" w:val="single"/>
            </w:tcBorders>
            <w:shd w:fill="f6f9fc" w:val="clear"/>
            <w:tcMar>
              <w:top w:w="110.0" w:type="dxa"/>
              <w:left w:w="120.0" w:type="dxa"/>
              <w:bottom w:w="110.0" w:type="dxa"/>
              <w:right w:w="120.0" w:type="dxa"/>
            </w:tcMar>
            <w:vAlign w:val="center"/>
          </w:tcPr>
          <w:p w14:paraId="0000009B">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Wer führt aus, welche Daten fließen und welches System unterstützt?</w:t>
            </w:r>
          </w:p>
        </w:tc>
      </w:tr>
      <w:tr>
        <w:trPr>
          <w:cantSplit w:val="1"/>
          <w:tblHeader w:val="0"/>
        </w:trPr>
        <w:tc>
          <w:tcPr>
            <w:tcBorders>
              <w:top w:color="ffffff" w:space="0" w:sz="6" w:val="single"/>
              <w:left w:color="ffffff" w:space="0" w:sz="6" w:val="single"/>
              <w:bottom w:color="ffffff" w:space="0" w:sz="6" w:val="single"/>
              <w:right w:color="ffffff" w:space="0" w:sz="6" w:val="single"/>
            </w:tcBorders>
            <w:shd w:fill="e6f0f8" w:val="clear"/>
            <w:tcMar>
              <w:top w:w="110.0" w:type="dxa"/>
              <w:left w:w="120.0" w:type="dxa"/>
              <w:bottom w:w="110.0" w:type="dxa"/>
              <w:right w:w="120.0" w:type="dxa"/>
            </w:tcMar>
            <w:vAlign w:val="center"/>
          </w:tcPr>
          <w:p w14:paraId="0000009C">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Prozesswegweiser</w:t>
            </w:r>
          </w:p>
        </w:tc>
        <w:tc>
          <w:tcPr>
            <w:tcBorders>
              <w:top w:color="ffffff" w:space="0" w:sz="6" w:val="single"/>
              <w:left w:color="ffffff" w:space="0" w:sz="6" w:val="single"/>
              <w:bottom w:color="ffffff" w:space="0" w:sz="6" w:val="single"/>
              <w:right w:color="ffffff" w:space="0" w:sz="6" w:val="single"/>
            </w:tcBorders>
            <w:shd w:fill="ffffff" w:val="clear"/>
            <w:tcMar>
              <w:top w:w="110.0" w:type="dxa"/>
              <w:left w:w="120.0" w:type="dxa"/>
              <w:bottom w:w="110.0" w:type="dxa"/>
              <w:right w:w="120.0" w:type="dxa"/>
            </w:tcMar>
            <w:vAlign w:val="center"/>
          </w:tcPr>
          <w:p w14:paraId="0000009D">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Verweis auf einen ausgelagerten Unterprozess.</w:t>
            </w:r>
          </w:p>
        </w:tc>
        <w:tc>
          <w:tcPr>
            <w:tcBorders>
              <w:top w:color="ffffff" w:space="0" w:sz="6" w:val="single"/>
              <w:left w:color="ffffff" w:space="0" w:sz="6" w:val="single"/>
              <w:bottom w:color="ffffff" w:space="0" w:sz="6" w:val="single"/>
              <w:right w:color="ffffff" w:space="0" w:sz="6" w:val="single"/>
            </w:tcBorders>
            <w:shd w:fill="ffffff" w:val="clear"/>
            <w:tcMar>
              <w:top w:w="110.0" w:type="dxa"/>
              <w:left w:w="120.0" w:type="dxa"/>
              <w:bottom w:w="110.0" w:type="dxa"/>
              <w:right w:w="120.0" w:type="dxa"/>
            </w:tcMar>
            <w:vAlign w:val="center"/>
          </w:tcPr>
          <w:p w14:paraId="0000009E">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Ist die Zerlegung nachvollziehbar und sauber angeschlossen?</w:t>
            </w:r>
          </w:p>
        </w:tc>
      </w:tr>
    </w:tbl>
    <w:p>
      <w:pPr>
        <w:spacing w:after="60"/>
      </w:pPr>
    </w:p>
    <w:p>
      <w:pPr>
        <w:pStyle w:val="Heading2"/>
        <w:keepNext/>
        <w:spacing w:before="160" w:after="80"/>
      </w:pPr>
      <w:r>
        <w:rPr>
          <w:rFonts w:ascii="Helvetica Neue" w:hAnsi="Helvetica Neue"/>
          <w:b/>
          <w:color w:val="5B7085"/>
          <w:sz w:val="21"/>
        </w:rPr>
        <w:t>Sieben Syntaxregeln aus den Folien</w:t>
      </w:r>
    </w:p>
    <w:tbl>
      <w:tblPr>
        <w:tblStyle w:val="Table2"/>
        <w:tblW w:w="10155.0" w:type="dxa"/>
        <w:jc w:val="center"/>
        <w:tblBorders>
          <w:top w:color="ffffff" w:space="0" w:sz="8" w:val="single"/>
          <w:left w:color="ffffff" w:space="0" w:sz="8" w:val="single"/>
          <w:bottom w:color="ffffff" w:space="0" w:sz="8" w:val="single"/>
          <w:right w:color="ffffff" w:space="0" w:sz="8" w:val="single"/>
          <w:insideH w:color="ffffff" w:space="0" w:sz="8" w:val="single"/>
          <w:insideV w:color="ffffff" w:space="0" w:sz="8" w:val="single"/>
        </w:tblBorders>
        <w:tblLayout w:type="fixed"/>
        <w:tblLook w:val="0400"/>
      </w:tblPr>
      <w:tblGrid>
        <w:gridCol w:w="1815"/>
        <w:gridCol w:w="8340"/>
        <w:tblGridChange w:id="0">
          <w:tblGrid>
            <w:gridCol w:w="1815"/>
            <w:gridCol w:w="8340"/>
          </w:tblGrid>
        </w:tblGridChange>
      </w:tblGrid>
      <w:tr>
        <w:trPr>
          <w:cantSplit w:val="1"/>
          <w:tblHeader w:val="0"/>
        </w:trPr>
        <w:tc>
          <w:tcPr>
            <w:shd w:fill="cfe2f3" w:val="clear"/>
            <w:tcMar>
              <w:top w:w="110.0" w:type="dxa"/>
              <w:left w:w="120.0" w:type="dxa"/>
              <w:bottom w:w="110.0" w:type="dxa"/>
              <w:right w:w="120.0" w:type="dxa"/>
            </w:tcMar>
            <w:vAlign w:val="center"/>
          </w:tcPr>
          <w:p w14:paraId="0000001E">
            <w:pPr>
              <w:spacing w:after="25" w:before="20" w:line="285" w:lineRule="auto"/>
              <w:rPr>
                <w:rFonts w:ascii="Helvetica Neue" w:cs="Helvetica Neue" w:eastAsia="Helvetica Neue" w:hAnsi="Helvetica Neue"/>
                <w:color w:val="000000"/>
              </w:rPr>
            </w:pPr>
            <w:r>
              <w:rPr>
                <w:rFonts w:ascii="Helvetica Neue" w:cs="Helvetica Neue" w:eastAsia="Helvetica Neue" w:hAnsi="Helvetica Neue"/>
                <w:b w:val="1"/>
                <w:bCs w:val="1"/>
                <w:color w:val="000000"/>
                <w:rtl w:val="0"/>
              </w:rPr>
              <w:t>Regel</w:t>
            </w:r>
          </w:p>
        </w:tc>
        <w:tc>
          <w:tcPr>
            <w:tcBorders>
              <w:top w:color="ffffff" w:space="0" w:sz="8" w:val="single"/>
              <w:bottom w:color="ffffff" w:space="0" w:sz="8" w:val="single"/>
              <w:right w:color="ffffff" w:space="0" w:sz="8" w:val="single"/>
            </w:tcBorders>
            <w:shd w:fill="f6f9fc" w:val="clear"/>
            <w:tcMar>
              <w:top w:w="110.0" w:type="dxa"/>
              <w:left w:w="120.0" w:type="dxa"/>
              <w:bottom w:w="110.0" w:type="dxa"/>
              <w:right w:w="120.0" w:type="dxa"/>
            </w:tcMar>
            <w:vAlign w:val="center"/>
          </w:tcPr>
          <w:p w14:paraId="0000001F">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Prüffrage</w:t>
            </w:r>
          </w:p>
        </w:tc>
      </w:tr>
      <w:tr>
        <w:trPr>
          <w:cantSplit w:val="1"/>
          <w:trHeight w:val="404.3103027343749" w:hRule="atLeast"/>
          <w:tblHeader w:val="0"/>
        </w:trPr>
        <w:tc>
          <w:tcPr>
            <w:shd w:fill="cfe2f3" w:val="clear"/>
            <w:tcMar>
              <w:top w:w="110.0" w:type="dxa"/>
              <w:left w:w="120.0" w:type="dxa"/>
              <w:bottom w:w="110.0" w:type="dxa"/>
              <w:right w:w="120.0" w:type="dxa"/>
            </w:tcMar>
            <w:vAlign w:val="center"/>
          </w:tcPr>
          <w:p w14:paraId="00000020">
            <w:pPr>
              <w:spacing w:after="25" w:before="20" w:line="285" w:lineRule="auto"/>
              <w:rPr>
                <w:rFonts w:ascii="Helvetica Neue" w:cs="Helvetica Neue" w:eastAsia="Helvetica Neue" w:hAnsi="Helvetica Neue"/>
                <w:color w:val="000000"/>
              </w:rPr>
            </w:pPr>
            <w:r>
              <w:rPr>
                <w:rFonts w:ascii="Helvetica Neue" w:cs="Helvetica Neue" w:eastAsia="Helvetica Neue" w:hAnsi="Helvetica Neue"/>
                <w:b w:val="1"/>
                <w:bCs w:val="1"/>
                <w:color w:val="000000"/>
                <w:rtl w:val="0"/>
              </w:rPr>
              <w:t>1</w:t>
            </w:r>
          </w:p>
        </w:tc>
        <w:tc>
          <w:tcPr>
            <w:tcBorders>
              <w:top w:color="ffffff" w:space="0" w:sz="8" w:val="single"/>
              <w:bottom w:color="ffffff" w:space="0" w:sz="8" w:val="single"/>
              <w:right w:color="ffffff" w:space="0" w:sz="8" w:val="single"/>
            </w:tcBorders>
            <w:shd w:fill="f6f9fc" w:val="clear"/>
            <w:tcMar>
              <w:top w:w="110.0" w:type="dxa"/>
              <w:left w:w="120.0" w:type="dxa"/>
              <w:bottom w:w="110.0" w:type="dxa"/>
              <w:right w:w="120.0" w:type="dxa"/>
            </w:tcMar>
            <w:vAlign w:val="center"/>
          </w:tcPr>
          <w:p w14:paraId="00000021">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Beginnt und endet der Prozess mit mindestens einem Ereignis?</w:t>
            </w:r>
          </w:p>
        </w:tc>
      </w:tr>
      <w:tr>
        <w:trPr>
          <w:cantSplit w:val="1"/>
          <w:tblHeader w:val="0"/>
        </w:trPr>
        <w:tc>
          <w:tcPr>
            <w:shd w:fill="cfe2f3" w:val="clear"/>
            <w:tcMar>
              <w:top w:w="110.0" w:type="dxa"/>
              <w:left w:w="120.0" w:type="dxa"/>
              <w:bottom w:w="110.0" w:type="dxa"/>
              <w:right w:w="120.0" w:type="dxa"/>
            </w:tcMar>
            <w:vAlign w:val="center"/>
          </w:tcPr>
          <w:p w14:paraId="00000022">
            <w:pPr>
              <w:spacing w:after="25" w:before="20" w:line="285" w:lineRule="auto"/>
              <w:rPr>
                <w:rFonts w:ascii="Helvetica Neue" w:cs="Helvetica Neue" w:eastAsia="Helvetica Neue" w:hAnsi="Helvetica Neue"/>
                <w:color w:val="000000"/>
              </w:rPr>
            </w:pPr>
            <w:r>
              <w:rPr>
                <w:rFonts w:ascii="Helvetica Neue" w:cs="Helvetica Neue" w:eastAsia="Helvetica Neue" w:hAnsi="Helvetica Neue"/>
                <w:b w:val="1"/>
                <w:bCs w:val="1"/>
                <w:color w:val="000000"/>
                <w:rtl w:val="0"/>
              </w:rPr>
              <w:t>2</w:t>
            </w:r>
          </w:p>
        </w:tc>
        <w:tc>
          <w:tcPr>
            <w:tcBorders>
              <w:top w:color="ffffff" w:space="0" w:sz="8" w:val="single"/>
              <w:bottom w:color="ffffff" w:space="0" w:sz="8" w:val="single"/>
              <w:right w:color="ffffff" w:space="0" w:sz="8" w:val="single"/>
            </w:tcBorders>
            <w:shd w:fill="f6f9fc" w:val="clear"/>
            <w:tcMar>
              <w:top w:w="110.0" w:type="dxa"/>
              <w:left w:w="120.0" w:type="dxa"/>
              <w:bottom w:w="110.0" w:type="dxa"/>
              <w:right w:w="120.0" w:type="dxa"/>
            </w:tcMar>
            <w:vAlign w:val="center"/>
          </w:tcPr>
          <w:p w14:paraId="00000023">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Wechseln Ereignis und Funktion im normalen Kontrollfluss ab?</w:t>
            </w:r>
          </w:p>
        </w:tc>
      </w:tr>
      <w:tr>
        <w:trPr>
          <w:cantSplit w:val="1"/>
          <w:tblHeader w:val="0"/>
        </w:trPr>
        <w:tc>
          <w:tcPr>
            <w:shd w:fill="cfe2f3" w:val="clear"/>
            <w:tcMar>
              <w:top w:w="110.0" w:type="dxa"/>
              <w:left w:w="120.0" w:type="dxa"/>
              <w:bottom w:w="110.0" w:type="dxa"/>
              <w:right w:w="120.0" w:type="dxa"/>
            </w:tcMar>
            <w:vAlign w:val="center"/>
          </w:tcPr>
          <w:p w14:paraId="00000024">
            <w:pPr>
              <w:spacing w:after="25" w:before="20" w:line="285" w:lineRule="auto"/>
              <w:rPr>
                <w:rFonts w:ascii="Helvetica Neue" w:cs="Helvetica Neue" w:eastAsia="Helvetica Neue" w:hAnsi="Helvetica Neue"/>
                <w:color w:val="000000"/>
              </w:rPr>
            </w:pPr>
            <w:r>
              <w:rPr>
                <w:rFonts w:ascii="Helvetica Neue" w:cs="Helvetica Neue" w:eastAsia="Helvetica Neue" w:hAnsi="Helvetica Neue"/>
                <w:b w:val="1"/>
                <w:bCs w:val="1"/>
                <w:color w:val="000000"/>
                <w:rtl w:val="0"/>
              </w:rPr>
              <w:t>3</w:t>
            </w:r>
          </w:p>
        </w:tc>
        <w:tc>
          <w:tcPr>
            <w:tcBorders>
              <w:top w:color="ffffff" w:space="0" w:sz="8" w:val="single"/>
              <w:bottom w:color="ffffff" w:space="0" w:sz="8" w:val="single"/>
              <w:right w:color="ffffff" w:space="0" w:sz="8" w:val="single"/>
            </w:tcBorders>
            <w:shd w:fill="f6f9fc" w:val="clear"/>
            <w:tcMar>
              <w:top w:w="110.0" w:type="dxa"/>
              <w:left w:w="120.0" w:type="dxa"/>
              <w:bottom w:w="110.0" w:type="dxa"/>
              <w:right w:w="120.0" w:type="dxa"/>
            </w:tcMar>
            <w:vAlign w:val="center"/>
          </w:tcPr>
          <w:p w14:paraId="00000025">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Werden direkt aufeinanderfolgende Konnektoren nur bewusst zur Kopplung unterschiedlicher Logiken genutzt?</w:t>
            </w:r>
          </w:p>
        </w:tc>
      </w:tr>
      <w:tr>
        <w:trPr>
          <w:cantSplit w:val="1"/>
          <w:trHeight w:val="404.3103027343749" w:hRule="atLeast"/>
          <w:tblHeader w:val="0"/>
        </w:trPr>
        <w:tc>
          <w:tcPr>
            <w:shd w:fill="cfe2f3" w:val="clear"/>
            <w:tcMar>
              <w:top w:w="110.0" w:type="dxa"/>
              <w:left w:w="120.0" w:type="dxa"/>
              <w:bottom w:w="110.0" w:type="dxa"/>
              <w:right w:w="120.0" w:type="dxa"/>
            </w:tcMar>
            <w:vAlign w:val="center"/>
          </w:tcPr>
          <w:p w14:paraId="00000020">
            <w:pPr>
              <w:spacing w:after="25" w:before="20" w:line="285" w:lineRule="auto"/>
              <w:rPr>
                <w:rFonts w:ascii="Helvetica Neue" w:cs="Helvetica Neue" w:eastAsia="Helvetica Neue" w:hAnsi="Helvetica Neue"/>
                <w:color w:val="000000"/>
              </w:rPr>
            </w:pPr>
            <w:r>
              <w:rPr>
                <w:rFonts w:ascii="Helvetica Neue" w:cs="Helvetica Neue" w:eastAsia="Helvetica Neue" w:hAnsi="Helvetica Neue"/>
                <w:b w:val="1"/>
                <w:bCs w:val="1"/>
                <w:color w:val="000000"/>
                <w:rtl w:val="0"/>
              </w:rPr>
              <w:t>4</w:t>
            </w:r>
          </w:p>
        </w:tc>
        <w:tc>
          <w:tcPr>
            <w:tcBorders>
              <w:top w:color="ffffff" w:space="0" w:sz="8" w:val="single"/>
              <w:bottom w:color="ffffff" w:space="0" w:sz="8" w:val="single"/>
              <w:right w:color="ffffff" w:space="0" w:sz="8" w:val="single"/>
            </w:tcBorders>
            <w:shd w:fill="f6f9fc" w:val="clear"/>
            <w:tcMar>
              <w:top w:w="110.0" w:type="dxa"/>
              <w:left w:w="120.0" w:type="dxa"/>
              <w:bottom w:w="110.0" w:type="dxa"/>
              <w:right w:w="120.0" w:type="dxa"/>
            </w:tcMar>
            <w:vAlign w:val="center"/>
          </w:tcPr>
          <w:p w14:paraId="00000021">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Besitzen Ereignisse und Funktionen höchstens einen Kontrollfluss-Eingang bzw. -Ausgang?</w:t>
            </w:r>
          </w:p>
        </w:tc>
      </w:tr>
      <w:tr>
        <w:trPr>
          <w:cantSplit w:val="1"/>
          <w:tblHeader w:val="0"/>
        </w:trPr>
        <w:tc>
          <w:tcPr>
            <w:shd w:fill="cfe2f3" w:val="clear"/>
            <w:tcMar>
              <w:top w:w="110.0" w:type="dxa"/>
              <w:left w:w="120.0" w:type="dxa"/>
              <w:bottom w:w="110.0" w:type="dxa"/>
              <w:right w:w="120.0" w:type="dxa"/>
            </w:tcMar>
            <w:vAlign w:val="center"/>
          </w:tcPr>
          <w:p w14:paraId="00000022">
            <w:pPr>
              <w:spacing w:after="25" w:before="20" w:line="285" w:lineRule="auto"/>
              <w:rPr>
                <w:rFonts w:ascii="Helvetica Neue" w:cs="Helvetica Neue" w:eastAsia="Helvetica Neue" w:hAnsi="Helvetica Neue"/>
                <w:color w:val="000000"/>
              </w:rPr>
            </w:pPr>
            <w:r>
              <w:rPr>
                <w:rFonts w:ascii="Helvetica Neue" w:cs="Helvetica Neue" w:eastAsia="Helvetica Neue" w:hAnsi="Helvetica Neue"/>
                <w:b w:val="1"/>
                <w:bCs w:val="1"/>
                <w:color w:val="000000"/>
                <w:rtl w:val="0"/>
              </w:rPr>
              <w:t>5</w:t>
            </w:r>
          </w:p>
        </w:tc>
        <w:tc>
          <w:tcPr>
            <w:tcBorders>
              <w:top w:color="ffffff" w:space="0" w:sz="8" w:val="single"/>
              <w:bottom w:color="ffffff" w:space="0" w:sz="8" w:val="single"/>
              <w:right w:color="ffffff" w:space="0" w:sz="8" w:val="single"/>
            </w:tcBorders>
            <w:shd w:fill="f6f9fc" w:val="clear"/>
            <w:tcMar>
              <w:top w:w="110.0" w:type="dxa"/>
              <w:left w:w="120.0" w:type="dxa"/>
              <w:bottom w:w="110.0" w:type="dxa"/>
              <w:right w:w="120.0" w:type="dxa"/>
            </w:tcMar>
            <w:vAlign w:val="center"/>
          </w:tcPr>
          <w:p w14:paraId="00000023">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Sind Daten, Systeme und Organisationseinheiten ausschließlich Funktionen zugeordnet?</w:t>
            </w:r>
          </w:p>
        </w:tc>
      </w:tr>
      <w:tr>
        <w:trPr>
          <w:cantSplit w:val="1"/>
          <w:tblHeader w:val="0"/>
        </w:trPr>
        <w:tc>
          <w:tcPr>
            <w:shd w:fill="cfe2f3" w:val="clear"/>
            <w:tcMar>
              <w:top w:w="110.0" w:type="dxa"/>
              <w:left w:w="120.0" w:type="dxa"/>
              <w:bottom w:w="110.0" w:type="dxa"/>
              <w:right w:w="120.0" w:type="dxa"/>
            </w:tcMar>
            <w:vAlign w:val="center"/>
          </w:tcPr>
          <w:p w14:paraId="00000024">
            <w:pPr>
              <w:spacing w:after="25" w:before="20" w:line="285" w:lineRule="auto"/>
              <w:rPr>
                <w:rFonts w:ascii="Helvetica Neue" w:cs="Helvetica Neue" w:eastAsia="Helvetica Neue" w:hAnsi="Helvetica Neue"/>
                <w:color w:val="000000"/>
              </w:rPr>
            </w:pPr>
            <w:r>
              <w:rPr>
                <w:rFonts w:ascii="Helvetica Neue" w:cs="Helvetica Neue" w:eastAsia="Helvetica Neue" w:hAnsi="Helvetica Neue"/>
                <w:b w:val="1"/>
                <w:bCs w:val="1"/>
                <w:color w:val="000000"/>
                <w:rtl w:val="0"/>
              </w:rPr>
              <w:t>6</w:t>
            </w:r>
          </w:p>
        </w:tc>
        <w:tc>
          <w:tcPr>
            <w:tcBorders>
              <w:top w:color="ffffff" w:space="0" w:sz="8" w:val="single"/>
              <w:bottom w:color="ffffff" w:space="0" w:sz="8" w:val="single"/>
              <w:right w:color="ffffff" w:space="0" w:sz="8" w:val="single"/>
            </w:tcBorders>
            <w:shd w:fill="f6f9fc" w:val="clear"/>
            <w:tcMar>
              <w:top w:w="110.0" w:type="dxa"/>
              <w:left w:w="120.0" w:type="dxa"/>
              <w:bottom w:w="110.0" w:type="dxa"/>
              <w:right w:w="120.0" w:type="dxa"/>
            </w:tcMar>
            <w:vAlign w:val="center"/>
          </w:tcPr>
          <w:p w14:paraId="00000025">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Sind eEPK-Zusatzelemente nur dort enthalten, wo sie Erkenntnis liefern?</w:t>
            </w:r>
          </w:p>
        </w:tc>
      </w:tr>
      <w:tr>
        <w:trPr>
          <w:cantSplit w:val="1"/>
          <w:trHeight w:val="404.3103027343749" w:hRule="atLeast"/>
          <w:tblHeader w:val="0"/>
        </w:trPr>
        <w:tc>
          <w:tcPr>
            <w:shd w:fill="cfe2f3" w:val="clear"/>
            <w:tcMar>
              <w:top w:w="110.0" w:type="dxa"/>
              <w:left w:w="120.0" w:type="dxa"/>
              <w:bottom w:w="110.0" w:type="dxa"/>
              <w:right w:w="120.0" w:type="dxa"/>
            </w:tcMar>
            <w:vAlign w:val="center"/>
          </w:tcPr>
          <w:p w14:paraId="00000020">
            <w:pPr>
              <w:spacing w:after="25" w:before="20" w:line="285" w:lineRule="auto"/>
              <w:rPr>
                <w:rFonts w:ascii="Helvetica Neue" w:cs="Helvetica Neue" w:eastAsia="Helvetica Neue" w:hAnsi="Helvetica Neue"/>
                <w:color w:val="000000"/>
              </w:rPr>
            </w:pPr>
            <w:r>
              <w:rPr>
                <w:rFonts w:ascii="Helvetica Neue" w:cs="Helvetica Neue" w:eastAsia="Helvetica Neue" w:hAnsi="Helvetica Neue"/>
                <w:b w:val="1"/>
                <w:bCs w:val="1"/>
                <w:color w:val="000000"/>
                <w:rtl w:val="0"/>
              </w:rPr>
              <w:t>7</w:t>
            </w:r>
          </w:p>
        </w:tc>
        <w:tc>
          <w:tcPr>
            <w:tcBorders>
              <w:top w:color="ffffff" w:space="0" w:sz="8" w:val="single"/>
              <w:bottom w:color="ffffff" w:space="0" w:sz="8" w:val="single"/>
              <w:right w:color="ffffff" w:space="0" w:sz="8" w:val="single"/>
            </w:tcBorders>
            <w:shd w:fill="f6f9fc" w:val="clear"/>
            <w:tcMar>
              <w:top w:w="110.0" w:type="dxa"/>
              <w:left w:w="120.0" w:type="dxa"/>
              <w:bottom w:w="110.0" w:type="dxa"/>
              <w:right w:w="120.0" w:type="dxa"/>
            </w:tcMar>
            <w:vAlign w:val="center"/>
          </w:tcPr>
          <w:p w14:paraId="00000021">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Folgt auf ein Ereignis kein XOR- oder OR-Split; wird dort nur UND verwendet?</w:t>
            </w:r>
          </w:p>
        </w:tc>
      </w:tr>
    </w:tbl>
    <w:p>
      <w:pPr>
        <w:spacing w:after="60"/>
      </w:pPr>
    </w:p>
    <w:p>
      <w:pPr>
        <w:pStyle w:val="Heading2"/>
        <w:keepNext/>
        <w:spacing w:before="160" w:after="80"/>
      </w:pPr>
      <w:r>
        <w:rPr>
          <w:rFonts w:ascii="Helvetica Neue" w:hAnsi="Helvetica Neue"/>
          <w:b/>
          <w:color w:val="5B7085"/>
          <w:sz w:val="21"/>
        </w:rPr>
        <w:t>Progressive Übungsfolge</w:t>
      </w:r>
    </w:p>
    <w:tbl>
      <w:tblPr>
        <w:tblStyle w:val="Table9"/>
        <w:tblW w:w="10440.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00"/>
      </w:tblPr>
      <w:tblGrid>
        <w:gridCol w:w="2954"/>
        <w:gridCol w:w="3713"/>
        <w:gridCol w:w="3773"/>
        <w:tblGridChange w:id="0">
          <w:tblGrid>
            <w:gridCol w:w="2954"/>
            <w:gridCol w:w="3713"/>
            <w:gridCol w:w="3773"/>
          </w:tblGrid>
        </w:tblGridChange>
      </w:tblGrid>
      <w:tr>
        <w:trPr>
          <w:cantSplit w:val="1"/>
          <w:tblHeader w:val="1"/>
        </w:trPr>
        <w:tc>
          <w:tcPr>
            <w:tcBorders>
              <w:top w:color="ffffff" w:space="0" w:sz="6" w:val="single"/>
              <w:left w:color="ffffff" w:space="0" w:sz="6" w:val="single"/>
              <w:bottom w:color="ffffff" w:space="0" w:sz="6" w:val="single"/>
              <w:right w:color="ffffff" w:space="0" w:sz="6" w:val="single"/>
            </w:tcBorders>
            <w:shd w:fill="082a4a" w:val="clear"/>
            <w:tcMar>
              <w:top w:w="110.0" w:type="dxa"/>
              <w:left w:w="120.0" w:type="dxa"/>
              <w:bottom w:w="110.0" w:type="dxa"/>
              <w:right w:w="120.0" w:type="dxa"/>
            </w:tcMar>
            <w:vAlign w:val="center"/>
          </w:tcPr>
          <w:p w14:paraId="000000E5">
            <w:pPr>
              <w:spacing w:after="0" w:before="20" w:line="265" w:lineRule="auto"/>
              <w:rPr>
                <w:rFonts w:ascii="Helvetica Neue" w:cs="Helvetica Neue" w:eastAsia="Helvetica Neue" w:hAnsi="Helvetica Neue"/>
              </w:rPr>
            </w:pPr>
            <w:r>
              <w:rPr>
                <w:rFonts w:ascii="Helvetica Neue" w:cs="Helvetica Neue" w:eastAsia="Helvetica Neue" w:hAnsi="Helvetica Neue"/>
                <w:b w:val="1"/>
                <w:bCs w:val="1"/>
                <w:color w:val="ffffff"/>
                <w:rtl w:val="0"/>
              </w:rPr>
              <w:t>Fall</w:t>
            </w:r>
          </w:p>
        </w:tc>
        <w:tc>
          <w:tcPr>
            <w:tcBorders>
              <w:top w:color="ffffff" w:space="0" w:sz="6" w:val="single"/>
              <w:left w:color="ffffff" w:space="0" w:sz="6" w:val="single"/>
              <w:bottom w:color="ffffff" w:space="0" w:sz="6" w:val="single"/>
              <w:right w:color="ffffff" w:space="0" w:sz="6" w:val="single"/>
            </w:tcBorders>
            <w:shd w:fill="082a4a" w:val="clear"/>
            <w:tcMar>
              <w:top w:w="110.0" w:type="dxa"/>
              <w:left w:w="120.0" w:type="dxa"/>
              <w:bottom w:w="110.0" w:type="dxa"/>
              <w:right w:w="120.0" w:type="dxa"/>
            </w:tcMar>
            <w:vAlign w:val="center"/>
          </w:tcPr>
          <w:p w14:paraId="000000E6">
            <w:pPr>
              <w:spacing w:after="0" w:before="20" w:line="265" w:lineRule="auto"/>
              <w:rPr>
                <w:rFonts w:ascii="Helvetica Neue" w:cs="Helvetica Neue" w:eastAsia="Helvetica Neue" w:hAnsi="Helvetica Neue"/>
              </w:rPr>
            </w:pPr>
            <w:r>
              <w:rPr>
                <w:rFonts w:ascii="Helvetica Neue" w:cs="Helvetica Neue" w:eastAsia="Helvetica Neue" w:hAnsi="Helvetica Neue"/>
                <w:b w:val="1"/>
                <w:bCs w:val="1"/>
                <w:color w:val="ffffff"/>
                <w:rtl w:val="0"/>
              </w:rPr>
              <w:t>Modellierungsfokus</w:t>
            </w:r>
          </w:p>
        </w:tc>
        <w:tc>
          <w:tcPr>
            <w:tcBorders>
              <w:top w:color="ffffff" w:space="0" w:sz="6" w:val="single"/>
              <w:left w:color="ffffff" w:space="0" w:sz="6" w:val="single"/>
              <w:bottom w:color="ffffff" w:space="0" w:sz="6" w:val="single"/>
              <w:right w:color="ffffff" w:space="0" w:sz="6" w:val="single"/>
            </w:tcBorders>
            <w:shd w:fill="082a4a" w:val="clear"/>
            <w:tcMar>
              <w:top w:w="110.0" w:type="dxa"/>
              <w:left w:w="120.0" w:type="dxa"/>
              <w:bottom w:w="110.0" w:type="dxa"/>
              <w:right w:w="120.0" w:type="dxa"/>
            </w:tcMar>
            <w:vAlign w:val="center"/>
          </w:tcPr>
          <w:p w14:paraId="000000E7">
            <w:pPr>
              <w:spacing w:after="0" w:before="20" w:line="265" w:lineRule="auto"/>
              <w:rPr>
                <w:rFonts w:ascii="Helvetica Neue" w:cs="Helvetica Neue" w:eastAsia="Helvetica Neue" w:hAnsi="Helvetica Neue"/>
              </w:rPr>
            </w:pPr>
            <w:r>
              <w:rPr>
                <w:rFonts w:ascii="Helvetica Neue" w:cs="Helvetica Neue" w:eastAsia="Helvetica Neue" w:hAnsi="Helvetica Neue"/>
                <w:b w:val="1"/>
                <w:bCs w:val="1"/>
                <w:color w:val="ffffff"/>
                <w:rtl w:val="0"/>
              </w:rPr>
              <w:t>Kontrollpunkt</w:t>
            </w:r>
          </w:p>
        </w:tc>
      </w:tr>
      <w:tr>
        <w:trPr>
          <w:cantSplit w:val="1"/>
          <w:tblHeader w:val="0"/>
        </w:trPr>
        <w:tc>
          <w:tcPr>
            <w:tcBorders>
              <w:top w:color="ffffff" w:space="0" w:sz="6" w:val="single"/>
              <w:left w:color="ffffff" w:space="0" w:sz="6" w:val="single"/>
              <w:bottom w:color="ffffff" w:space="0" w:sz="6" w:val="single"/>
              <w:right w:color="ffffff" w:space="0" w:sz="6" w:val="single"/>
            </w:tcBorders>
            <w:shd w:fill="e6f0f8" w:val="clear"/>
            <w:tcMar>
              <w:top w:w="110.0" w:type="dxa"/>
              <w:left w:w="120.0" w:type="dxa"/>
              <w:bottom w:w="110.0" w:type="dxa"/>
              <w:right w:w="120.0" w:type="dxa"/>
            </w:tcMar>
            <w:vAlign w:val="center"/>
          </w:tcPr>
          <w:p w14:paraId="000000E8">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Bibliotheksausleihe</w:t>
            </w:r>
          </w:p>
        </w:tc>
        <w:tc>
          <w:tcPr>
            <w:tcBorders>
              <w:top w:color="ffffff" w:space="0" w:sz="6" w:val="single"/>
              <w:left w:color="ffffff" w:space="0" w:sz="6" w:val="single"/>
              <w:bottom w:color="ffffff" w:space="0" w:sz="6" w:val="single"/>
              <w:right w:color="ffffff" w:space="0" w:sz="6" w:val="single"/>
            </w:tcBorders>
            <w:shd w:fill="ffffff" w:val="clear"/>
            <w:tcMar>
              <w:top w:w="110.0" w:type="dxa"/>
              <w:left w:w="120.0" w:type="dxa"/>
              <w:bottom w:w="110.0" w:type="dxa"/>
              <w:right w:w="120.0" w:type="dxa"/>
            </w:tcMar>
            <w:vAlign w:val="center"/>
          </w:tcPr>
          <w:p w14:paraId="000000E9">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Einfacher Ablauf mit Verfügbarkeit als XOR.</w:t>
            </w:r>
          </w:p>
        </w:tc>
        <w:tc>
          <w:tcPr>
            <w:tcBorders>
              <w:top w:color="ffffff" w:space="0" w:sz="6" w:val="single"/>
              <w:left w:color="ffffff" w:space="0" w:sz="6" w:val="single"/>
              <w:bottom w:color="ffffff" w:space="0" w:sz="6" w:val="single"/>
              <w:right w:color="ffffff" w:space="0" w:sz="6" w:val="single"/>
            </w:tcBorders>
            <w:shd w:fill="ffffff" w:val="clear"/>
            <w:tcMar>
              <w:top w:w="110.0" w:type="dxa"/>
              <w:left w:w="120.0" w:type="dxa"/>
              <w:bottom w:w="110.0" w:type="dxa"/>
              <w:right w:w="120.0" w:type="dxa"/>
            </w:tcMar>
            <w:vAlign w:val="center"/>
          </w:tcPr>
          <w:p w14:paraId="000000EA">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Positive und negative Endpfade vorhanden</w:t>
            </w:r>
          </w:p>
        </w:tc>
      </w:tr>
      <w:tr>
        <w:trPr>
          <w:cantSplit w:val="1"/>
          <w:tblHeader w:val="0"/>
        </w:trPr>
        <w:tc>
          <w:tcPr>
            <w:tcBorders>
              <w:top w:color="ffffff" w:space="0" w:sz="6" w:val="single"/>
              <w:left w:color="ffffff" w:space="0" w:sz="6" w:val="single"/>
              <w:bottom w:color="ffffff" w:space="0" w:sz="6" w:val="single"/>
              <w:right w:color="ffffff" w:space="0" w:sz="6" w:val="single"/>
            </w:tcBorders>
            <w:shd w:fill="e6f0f8" w:val="clear"/>
            <w:tcMar>
              <w:top w:w="110.0" w:type="dxa"/>
              <w:left w:w="120.0" w:type="dxa"/>
              <w:bottom w:w="110.0" w:type="dxa"/>
              <w:right w:w="120.0" w:type="dxa"/>
            </w:tcMar>
            <w:vAlign w:val="center"/>
          </w:tcPr>
          <w:p w14:paraId="000000EB">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Hotelreservierung</w:t>
            </w:r>
          </w:p>
        </w:tc>
        <w:tc>
          <w:tcPr>
            <w:tcBorders>
              <w:top w:color="ffffff" w:space="0" w:sz="6" w:val="single"/>
              <w:left w:color="ffffff" w:space="0" w:sz="6" w:val="single"/>
              <w:bottom w:color="ffffff" w:space="0" w:sz="6" w:val="single"/>
              <w:right w:color="ffffff" w:space="0" w:sz="6" w:val="single"/>
            </w:tcBorders>
            <w:shd w:fill="f6f9fc" w:val="clear"/>
            <w:tcMar>
              <w:top w:w="110.0" w:type="dxa"/>
              <w:left w:w="120.0" w:type="dxa"/>
              <w:bottom w:w="110.0" w:type="dxa"/>
              <w:right w:w="120.0" w:type="dxa"/>
            </w:tcMar>
            <w:vAlign w:val="center"/>
          </w:tcPr>
          <w:p w14:paraId="000000EC">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Parallele Zimmer- und Zahlungsprüfung, danach Entscheidung.</w:t>
            </w:r>
          </w:p>
        </w:tc>
        <w:tc>
          <w:tcPr>
            <w:tcBorders>
              <w:top w:color="ffffff" w:space="0" w:sz="6" w:val="single"/>
              <w:left w:color="ffffff" w:space="0" w:sz="6" w:val="single"/>
              <w:bottom w:color="ffffff" w:space="0" w:sz="6" w:val="single"/>
              <w:right w:color="ffffff" w:space="0" w:sz="6" w:val="single"/>
            </w:tcBorders>
            <w:shd w:fill="f6f9fc" w:val="clear"/>
            <w:tcMar>
              <w:top w:w="110.0" w:type="dxa"/>
              <w:left w:w="120.0" w:type="dxa"/>
              <w:bottom w:w="110.0" w:type="dxa"/>
              <w:right w:w="120.0" w:type="dxa"/>
            </w:tcMar>
            <w:vAlign w:val="center"/>
          </w:tcPr>
          <w:p w14:paraId="000000ED">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Absagepfad ergänzen; Lösungsskizze der Folie ist unvollständig</w:t>
            </w:r>
          </w:p>
        </w:tc>
      </w:tr>
      <w:tr>
        <w:trPr>
          <w:cantSplit w:val="1"/>
          <w:tblHeader w:val="0"/>
        </w:trPr>
        <w:tc>
          <w:tcPr>
            <w:tcBorders>
              <w:top w:color="ffffff" w:space="0" w:sz="6" w:val="single"/>
              <w:left w:color="ffffff" w:space="0" w:sz="6" w:val="single"/>
              <w:bottom w:color="ffffff" w:space="0" w:sz="6" w:val="single"/>
              <w:right w:color="ffffff" w:space="0" w:sz="6" w:val="single"/>
            </w:tcBorders>
            <w:shd w:fill="e6f0f8" w:val="clear"/>
            <w:tcMar>
              <w:top w:w="110.0" w:type="dxa"/>
              <w:left w:w="120.0" w:type="dxa"/>
              <w:bottom w:w="110.0" w:type="dxa"/>
              <w:right w:w="120.0" w:type="dxa"/>
            </w:tcMar>
            <w:vAlign w:val="center"/>
          </w:tcPr>
          <w:p w14:paraId="000000EE">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Studienbewerbung</w:t>
            </w:r>
          </w:p>
        </w:tc>
        <w:tc>
          <w:tcPr>
            <w:tcBorders>
              <w:top w:color="ffffff" w:space="0" w:sz="6" w:val="single"/>
              <w:left w:color="ffffff" w:space="0" w:sz="6" w:val="single"/>
              <w:bottom w:color="ffffff" w:space="0" w:sz="6" w:val="single"/>
              <w:right w:color="ffffff" w:space="0" w:sz="6" w:val="single"/>
            </w:tcBorders>
            <w:shd w:fill="ffffff" w:val="clear"/>
            <w:tcMar>
              <w:top w:w="110.0" w:type="dxa"/>
              <w:left w:w="120.0" w:type="dxa"/>
              <w:bottom w:w="110.0" w:type="dxa"/>
              <w:right w:w="120.0" w:type="dxa"/>
            </w:tcMar>
            <w:vAlign w:val="center"/>
          </w:tcPr>
          <w:p w14:paraId="000000EF">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Drei parallele Prüfungen, Synchronisation, Zulassung/Ablehnung.</w:t>
            </w:r>
          </w:p>
        </w:tc>
        <w:tc>
          <w:tcPr>
            <w:tcBorders>
              <w:top w:color="ffffff" w:space="0" w:sz="6" w:val="single"/>
              <w:left w:color="ffffff" w:space="0" w:sz="6" w:val="single"/>
              <w:bottom w:color="ffffff" w:space="0" w:sz="6" w:val="single"/>
              <w:right w:color="ffffff" w:space="0" w:sz="6" w:val="single"/>
            </w:tcBorders>
            <w:shd w:fill="ffffff" w:val="clear"/>
            <w:tcMar>
              <w:top w:w="110.0" w:type="dxa"/>
              <w:left w:w="120.0" w:type="dxa"/>
              <w:bottom w:w="110.0" w:type="dxa"/>
              <w:right w:w="120.0" w:type="dxa"/>
            </w:tcMar>
            <w:vAlign w:val="center"/>
          </w:tcPr>
          <w:p w14:paraId="000000F0">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Alle Voraussetzungen vor Ausschussentscheidung zusammengeführt</w:t>
            </w:r>
          </w:p>
        </w:tc>
      </w:tr>
      <w:tr>
        <w:trPr>
          <w:cantSplit w:val="1"/>
          <w:tblHeader w:val="0"/>
        </w:trPr>
        <w:tc>
          <w:tcPr>
            <w:tcBorders>
              <w:top w:color="ffffff" w:space="0" w:sz="6" w:val="single"/>
              <w:left w:color="ffffff" w:space="0" w:sz="6" w:val="single"/>
              <w:bottom w:color="ffffff" w:space="0" w:sz="6" w:val="single"/>
              <w:right w:color="ffffff" w:space="0" w:sz="6" w:val="single"/>
            </w:tcBorders>
            <w:shd w:fill="e6f0f8" w:val="clear"/>
            <w:tcMar>
              <w:top w:w="110.0" w:type="dxa"/>
              <w:left w:w="120.0" w:type="dxa"/>
              <w:bottom w:w="110.0" w:type="dxa"/>
              <w:right w:w="120.0" w:type="dxa"/>
            </w:tcMar>
            <w:vAlign w:val="center"/>
          </w:tcPr>
          <w:p w14:paraId="000000F1">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Arzttermin</w:t>
            </w:r>
          </w:p>
        </w:tc>
        <w:tc>
          <w:tcPr>
            <w:tcBorders>
              <w:top w:color="ffffff" w:space="0" w:sz="6" w:val="single"/>
              <w:left w:color="ffffff" w:space="0" w:sz="6" w:val="single"/>
              <w:bottom w:color="ffffff" w:space="0" w:sz="6" w:val="single"/>
              <w:right w:color="ffffff" w:space="0" w:sz="6" w:val="single"/>
            </w:tcBorders>
            <w:shd w:fill="f6f9fc" w:val="clear"/>
            <w:tcMar>
              <w:top w:w="110.0" w:type="dxa"/>
              <w:left w:w="120.0" w:type="dxa"/>
              <w:bottom w:w="110.0" w:type="dxa"/>
              <w:right w:w="120.0" w:type="dxa"/>
            </w:tcMar>
            <w:vAlign w:val="center"/>
          </w:tcPr>
          <w:p w14:paraId="000000F2">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Regulärer Termin vs. Privatpatient/Privattermin.</w:t>
            </w:r>
          </w:p>
        </w:tc>
        <w:tc>
          <w:tcPr>
            <w:tcBorders>
              <w:top w:color="ffffff" w:space="0" w:sz="6" w:val="single"/>
              <w:left w:color="ffffff" w:space="0" w:sz="6" w:val="single"/>
              <w:bottom w:color="ffffff" w:space="0" w:sz="6" w:val="single"/>
              <w:right w:color="ffffff" w:space="0" w:sz="6" w:val="single"/>
            </w:tcBorders>
            <w:shd w:fill="f6f9fc" w:val="clear"/>
            <w:tcMar>
              <w:top w:w="110.0" w:type="dxa"/>
              <w:left w:w="120.0" w:type="dxa"/>
              <w:bottom w:w="110.0" w:type="dxa"/>
              <w:right w:w="120.0" w:type="dxa"/>
            </w:tcMar>
            <w:vAlign w:val="center"/>
          </w:tcPr>
          <w:p w14:paraId="000000F3">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Annahmen für den Fall ohne Privattermin ausdrücklich notiert</w:t>
            </w:r>
          </w:p>
        </w:tc>
      </w:tr>
      <w:tr>
        <w:trPr>
          <w:cantSplit w:val="1"/>
          <w:tblHeader w:val="0"/>
        </w:trPr>
        <w:tc>
          <w:tcPr>
            <w:tcBorders>
              <w:top w:color="ffffff" w:space="0" w:sz="6" w:val="single"/>
              <w:left w:color="ffffff" w:space="0" w:sz="6" w:val="single"/>
              <w:bottom w:color="ffffff" w:space="0" w:sz="6" w:val="single"/>
              <w:right w:color="ffffff" w:space="0" w:sz="6" w:val="single"/>
            </w:tcBorders>
            <w:shd w:fill="e6f0f8" w:val="clear"/>
            <w:tcMar>
              <w:top w:w="110.0" w:type="dxa"/>
              <w:left w:w="120.0" w:type="dxa"/>
              <w:bottom w:w="110.0" w:type="dxa"/>
              <w:right w:w="120.0" w:type="dxa"/>
            </w:tcMar>
            <w:vAlign w:val="center"/>
          </w:tcPr>
          <w:p w14:paraId="000000E8">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Reklamation</w:t>
            </w:r>
          </w:p>
        </w:tc>
        <w:tc>
          <w:tcPr>
            <w:tcBorders>
              <w:top w:color="ffffff" w:space="0" w:sz="6" w:val="single"/>
              <w:left w:color="ffffff" w:space="0" w:sz="6" w:val="single"/>
              <w:bottom w:color="ffffff" w:space="0" w:sz="6" w:val="single"/>
              <w:right w:color="ffffff" w:space="0" w:sz="6" w:val="single"/>
            </w:tcBorders>
            <w:shd w:fill="ffffff" w:val="clear"/>
            <w:tcMar>
              <w:top w:w="110.0" w:type="dxa"/>
              <w:left w:w="120.0" w:type="dxa"/>
              <w:bottom w:w="110.0" w:type="dxa"/>
              <w:right w:w="120.0" w:type="dxa"/>
            </w:tcMar>
            <w:vAlign w:val="center"/>
          </w:tcPr>
          <w:p w14:paraId="000000E9">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Belegprüfung, Mangelentscheidung, parallele Gutschrift und Ersatzanforderung, Verfügbarkeit.</w:t>
            </w:r>
          </w:p>
        </w:tc>
        <w:tc>
          <w:tcPr>
            <w:tcBorders>
              <w:top w:color="ffffff" w:space="0" w:sz="6" w:val="single"/>
              <w:left w:color="ffffff" w:space="0" w:sz="6" w:val="single"/>
              <w:bottom w:color="ffffff" w:space="0" w:sz="6" w:val="single"/>
              <w:right w:color="ffffff" w:space="0" w:sz="6" w:val="single"/>
            </w:tcBorders>
            <w:shd w:fill="ffffff" w:val="clear"/>
            <w:tcMar>
              <w:top w:w="110.0" w:type="dxa"/>
              <w:left w:w="120.0" w:type="dxa"/>
              <w:bottom w:w="110.0" w:type="dxa"/>
              <w:right w:w="120.0" w:type="dxa"/>
            </w:tcMar>
            <w:vAlign w:val="center"/>
          </w:tcPr>
          <w:p w14:paraId="000000EA">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Eigene Musterlösung erstellen; in den Unterlagen fehlt sie</w:t>
            </w:r>
          </w:p>
        </w:tc>
      </w:tr>
    </w:tbl>
    <w:p>
      <w:pPr>
        <w:spacing w:after="60"/>
      </w:pPr>
    </w:p>
    <w:p>
      <w:pPr>
        <w:keepLines w:val="0"/>
        <w:spacing w:before="0" w:after="110" w:line="300" w:lineRule="auto"/>
        <w:jc w:val="both"/>
      </w:pPr>
      <w:r>
        <w:rPr>
          <w:rFonts w:ascii="Helvetica Neue" w:hAnsi="Helvetica Neue"/>
          <w:b/>
          <w:color w:val="082A4A"/>
          <w:sz w:val="21"/>
        </w:rPr>
        <w:t xml:space="preserve">Fehleralarm: </w:t>
      </w:r>
      <w:r>
        <w:rPr>
          <w:rFonts w:ascii="Helvetica Neue" w:hAnsi="Helvetica Neue"/>
          <w:color w:val="233447"/>
          <w:sz w:val="21"/>
        </w:rPr>
        <w:t>Verben in Ereignissen, zustandslose Funktionen, fehlende Negativpfade, vermischte Split-/Join-Logik, Kontrollflusspfeile zu Daten/Systemen, unverbundene Zweige und ein Modell ohne klares Start-/Endereignis.</w:t>
      </w:r>
    </w:p>
    <w:p>
      <w:pPr>
        <w:pStyle w:val="Heading1"/>
        <w:keepNext/>
        <w:pageBreakBefore w:val="0"/>
      </w:pPr>
      <w:r>
        <w:rPr>
          <w:rFonts w:ascii="Helvetica Neue" w:hAnsi="Helvetica Neue"/>
          <w:color w:val="082A4A"/>
        </w:rPr>
        <w:t>9.  Lernkontrolle und Prüfungsstrategie</w:t>
      </w:r>
    </w:p>
    <w:p>
      <w:pPr>
        <w:keepLines w:val="0"/>
        <w:spacing w:before="0" w:after="110" w:line="300" w:lineRule="auto"/>
        <w:jc w:val="both"/>
      </w:pPr>
      <w:r>
        <w:rPr>
          <w:rFonts w:ascii="Helvetica Neue" w:hAnsi="Helvetica Neue"/>
          <w:color w:val="233447"/>
          <w:sz w:val="21"/>
        </w:rPr>
        <w:t>Miss deinen Fortschritt an beobachtbaren Leistungen. Lesen, Markieren oder Wiedererkennen zählt nur als Vorbereitung; geprüft wird, ob du selbst auswählen, modellieren, prüfen und erklären kannst.</w:t>
      </w:r>
    </w:p>
    <w:tbl>
      <w:tblPr>
        <w:tblStyle w:val="Table7"/>
        <w:tblW w:w="10440.0" w:type="dxa"/>
        <w:jc w:val="center"/>
        <w:tblBorders>
          <w:top w:color="ffffff" w:space="0" w:sz="8" w:val="single"/>
          <w:left w:color="ffffff" w:space="0" w:sz="8" w:val="single"/>
          <w:bottom w:color="ffffff" w:space="0" w:sz="8" w:val="single"/>
          <w:right w:color="ffffff" w:space="0" w:sz="8" w:val="single"/>
          <w:insideH w:color="ffffff" w:space="0" w:sz="8" w:val="single"/>
          <w:insideV w:color="ffffff" w:space="0" w:sz="8" w:val="single"/>
        </w:tblBorders>
        <w:tblLayout w:type="fixed"/>
        <w:tblLook w:val="0400"/>
      </w:tblPr>
      <w:tblGrid>
        <w:gridCol w:w="2268"/>
        <w:gridCol w:w="3521"/>
        <w:gridCol w:w="2306"/>
        <w:gridCol w:w="2345"/>
        <w:tblGridChange w:id="0">
          <w:tblGrid>
            <w:gridCol w:w="2268"/>
            <w:gridCol w:w="3521"/>
            <w:gridCol w:w="2306"/>
            <w:gridCol w:w="2345"/>
          </w:tblGrid>
        </w:tblGridChange>
      </w:tblGrid>
      <w:tr>
        <w:trPr>
          <w:cantSplit w:val="1"/>
          <w:tblHeader w:val="1"/>
        </w:trPr>
        <w:tc>
          <w:tcPr>
            <w:tcBorders>
              <w:top w:color="ffffff" w:space="0" w:sz="8" w:val="single"/>
              <w:left w:color="ffffff" w:space="0" w:sz="8" w:val="single"/>
              <w:bottom w:color="ffffff" w:space="0" w:sz="8" w:val="single"/>
              <w:right w:color="ffffff" w:space="0" w:sz="8" w:val="single"/>
            </w:tcBorders>
            <w:shd w:fill="082a4a" w:val="clear"/>
            <w:tcMar>
              <w:top w:w="110.0" w:type="dxa"/>
              <w:left w:w="120.0" w:type="dxa"/>
              <w:bottom w:w="110.0" w:type="dxa"/>
              <w:right w:w="120.0" w:type="dxa"/>
            </w:tcMar>
            <w:vAlign w:val="center"/>
          </w:tcPr>
          <w:p w14:paraId="000000AD">
            <w:pPr>
              <w:spacing w:after="0" w:before="20" w:line="265" w:lineRule="auto"/>
              <w:rPr>
                <w:rFonts w:ascii="Helvetica Neue" w:cs="Helvetica Neue" w:eastAsia="Helvetica Neue" w:hAnsi="Helvetica Neue"/>
              </w:rPr>
            </w:pPr>
            <w:r>
              <w:rPr>
                <w:rFonts w:ascii="Helvetica Neue" w:cs="Helvetica Neue" w:eastAsia="Helvetica Neue" w:hAnsi="Helvetica Neue"/>
                <w:b w:val="1"/>
                <w:bCs w:val="1"/>
                <w:color w:val="ffffff"/>
                <w:rtl w:val="0"/>
              </w:rPr>
              <w:t>Signal</w:t>
            </w:r>
          </w:p>
        </w:tc>
        <w:tc>
          <w:tcPr>
            <w:tcBorders>
              <w:top w:color="ffffff" w:space="0" w:sz="8" w:val="single"/>
              <w:left w:color="ffffff" w:space="0" w:sz="8" w:val="single"/>
              <w:bottom w:color="ffffff" w:space="0" w:sz="8" w:val="single"/>
              <w:right w:color="ffffff" w:space="0" w:sz="8" w:val="single"/>
            </w:tcBorders>
            <w:shd w:fill="082a4a" w:val="clear"/>
            <w:tcMar>
              <w:top w:w="110.0" w:type="dxa"/>
              <w:left w:w="120.0" w:type="dxa"/>
              <w:bottom w:w="110.0" w:type="dxa"/>
              <w:right w:w="120.0" w:type="dxa"/>
            </w:tcMar>
            <w:vAlign w:val="center"/>
          </w:tcPr>
          <w:p w14:paraId="000000AE">
            <w:pPr>
              <w:spacing w:after="0" w:before="20" w:line="265" w:lineRule="auto"/>
              <w:rPr>
                <w:rFonts w:ascii="Helvetica Neue" w:cs="Helvetica Neue" w:eastAsia="Helvetica Neue" w:hAnsi="Helvetica Neue"/>
              </w:rPr>
            </w:pPr>
            <w:r>
              <w:rPr>
                <w:rFonts w:ascii="Helvetica Neue" w:cs="Helvetica Neue" w:eastAsia="Helvetica Neue" w:hAnsi="Helvetica Neue"/>
                <w:b w:val="1"/>
                <w:bCs w:val="1"/>
                <w:color w:val="ffffff"/>
                <w:rtl w:val="0"/>
              </w:rPr>
              <w:t>Zielwert</w:t>
            </w:r>
          </w:p>
        </w:tc>
        <w:tc>
          <w:tcPr>
            <w:tcBorders>
              <w:top w:color="ffffff" w:space="0" w:sz="8" w:val="single"/>
              <w:left w:color="ffffff" w:space="0" w:sz="8" w:val="single"/>
              <w:bottom w:color="ffffff" w:space="0" w:sz="8" w:val="single"/>
              <w:right w:color="ffffff" w:space="0" w:sz="8" w:val="single"/>
            </w:tcBorders>
            <w:shd w:fill="082a4a" w:val="clear"/>
            <w:tcMar>
              <w:top w:w="110.0" w:type="dxa"/>
              <w:left w:w="120.0" w:type="dxa"/>
              <w:bottom w:w="110.0" w:type="dxa"/>
              <w:right w:w="120.0" w:type="dxa"/>
            </w:tcMar>
            <w:vAlign w:val="center"/>
          </w:tcPr>
          <w:p w14:paraId="000000AF">
            <w:pPr>
              <w:spacing w:after="0" w:before="20" w:line="265" w:lineRule="auto"/>
              <w:rPr>
                <w:rFonts w:ascii="Helvetica Neue" w:cs="Helvetica Neue" w:eastAsia="Helvetica Neue" w:hAnsi="Helvetica Neue"/>
              </w:rPr>
            </w:pPr>
            <w:r>
              <w:rPr>
                <w:rFonts w:ascii="Helvetica Neue" w:cs="Helvetica Neue" w:eastAsia="Helvetica Neue" w:hAnsi="Helvetica Neue"/>
                <w:b w:val="1"/>
                <w:bCs w:val="1"/>
                <w:color w:val="ffffff"/>
                <w:rtl w:val="0"/>
              </w:rPr>
              <w:t>Nachweis</w:t>
            </w:r>
          </w:p>
        </w:tc>
        <w:tc>
          <w:tcPr>
            <w:tcBorders>
              <w:top w:color="ffffff" w:space="0" w:sz="8" w:val="single"/>
              <w:left w:color="ffffff" w:space="0" w:sz="8" w:val="single"/>
              <w:bottom w:color="ffffff" w:space="0" w:sz="8" w:val="single"/>
              <w:right w:color="ffffff" w:space="0" w:sz="8" w:val="single"/>
            </w:tcBorders>
            <w:shd w:fill="082a4a" w:val="clear"/>
            <w:tcMar>
              <w:top w:w="110.0" w:type="dxa"/>
              <w:left w:w="120.0" w:type="dxa"/>
              <w:bottom w:w="110.0" w:type="dxa"/>
              <w:right w:w="120.0" w:type="dxa"/>
            </w:tcMar>
            <w:vAlign w:val="center"/>
          </w:tcPr>
          <w:p w14:paraId="000000B0">
            <w:pPr>
              <w:spacing w:after="0" w:before="20" w:line="265" w:lineRule="auto"/>
              <w:rPr>
                <w:rFonts w:ascii="Helvetica Neue" w:cs="Helvetica Neue" w:eastAsia="Helvetica Neue" w:hAnsi="Helvetica Neue"/>
              </w:rPr>
            </w:pPr>
            <w:r>
              <w:rPr>
                <w:rFonts w:ascii="Helvetica Neue" w:cs="Helvetica Neue" w:eastAsia="Helvetica Neue" w:hAnsi="Helvetica Neue"/>
                <w:b w:val="1"/>
                <w:bCs w:val="1"/>
                <w:color w:val="ffffff"/>
                <w:sz w:val="16"/>
                <w:szCs w:val="16"/>
                <w:rtl w:val="0"/>
              </w:rPr>
              <w:t>Nächste Maßnahme</w:t>
            </w:r>
          </w:p>
        </w:tc>
      </w:tr>
      <w:tr>
        <w:trPr>
          <w:cantSplit w:val="1"/>
          <w:tblHeader w:val="0"/>
        </w:trPr>
        <w:tc>
          <w:tcPr>
            <w:tcBorders>
              <w:top w:color="ffffff" w:space="0" w:sz="8" w:val="single"/>
              <w:left w:color="ffffff" w:space="0" w:sz="8" w:val="single"/>
              <w:bottom w:color="ffffff" w:space="0" w:sz="8" w:val="single"/>
              <w:right w:color="ffffff" w:space="0" w:sz="8" w:val="single"/>
            </w:tcBorders>
            <w:shd w:fill="e6f0f8" w:val="clear"/>
            <w:tcMar>
              <w:top w:w="110.0" w:type="dxa"/>
              <w:left w:w="120.0" w:type="dxa"/>
              <w:bottom w:w="110.0" w:type="dxa"/>
              <w:right w:w="120.0" w:type="dxa"/>
            </w:tcMar>
            <w:vAlign w:val="center"/>
          </w:tcPr>
          <w:p w14:paraId="000000B1">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Modellwahl</w:t>
            </w:r>
          </w:p>
        </w:tc>
        <w:tc>
          <w:tcPr>
            <w:tcBorders>
              <w:top w:color="ffffff" w:space="0" w:sz="8" w:val="single"/>
              <w:left w:color="ffffff" w:space="0" w:sz="8" w:val="single"/>
              <w:bottom w:color="ffffff" w:space="0" w:sz="8" w:val="single"/>
              <w:right w:color="ffffff" w:space="0" w:sz="8" w:val="single"/>
            </w:tcBorders>
            <w:shd w:fill="ffffff" w:val="clear"/>
            <w:tcMar>
              <w:top w:w="110.0" w:type="dxa"/>
              <w:left w:w="120.0" w:type="dxa"/>
              <w:bottom w:w="110.0" w:type="dxa"/>
              <w:right w:w="120.0" w:type="dxa"/>
            </w:tcMar>
            <w:vAlign w:val="center"/>
          </w:tcPr>
          <w:p w14:paraId="000000B2">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9 von 9 Themen korrekt zu Leitfragen zuordnen</w:t>
            </w:r>
          </w:p>
        </w:tc>
        <w:tc>
          <w:tcPr>
            <w:tcBorders>
              <w:top w:color="ffffff" w:space="0" w:sz="8" w:val="single"/>
              <w:left w:color="ffffff" w:space="0" w:sz="8" w:val="single"/>
              <w:bottom w:color="ffffff" w:space="0" w:sz="8" w:val="single"/>
              <w:right w:color="ffffff" w:space="0" w:sz="8" w:val="single"/>
            </w:tcBorders>
            <w:shd w:fill="ffffff" w:val="clear"/>
            <w:tcMar>
              <w:top w:w="110.0" w:type="dxa"/>
              <w:left w:w="120.0" w:type="dxa"/>
              <w:bottom w:w="110.0" w:type="dxa"/>
              <w:right w:w="120.0" w:type="dxa"/>
            </w:tcMar>
            <w:vAlign w:val="center"/>
          </w:tcPr>
          <w:p w14:paraId="000000B3">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Gemischte Karten ohne Unterlagen</w:t>
            </w:r>
          </w:p>
        </w:tc>
        <w:tc>
          <w:tcPr>
            <w:tcBorders>
              <w:top w:color="ffffff" w:space="0" w:sz="8" w:val="single"/>
              <w:left w:color="ffffff" w:space="0" w:sz="8" w:val="single"/>
              <w:bottom w:color="ffffff" w:space="0" w:sz="8" w:val="single"/>
              <w:right w:color="ffffff" w:space="0" w:sz="8" w:val="single"/>
            </w:tcBorders>
            <w:shd w:fill="ffffff" w:val="clear"/>
            <w:tcMar>
              <w:top w:w="110.0" w:type="dxa"/>
              <w:left w:w="120.0" w:type="dxa"/>
              <w:bottom w:w="110.0" w:type="dxa"/>
              <w:right w:w="120.0" w:type="dxa"/>
            </w:tcMar>
            <w:vAlign w:val="center"/>
          </w:tcPr>
          <w:p w14:paraId="000000B4">
            <w:pPr>
              <w:spacing w:after="25" w:before="20" w:line="285" w:lineRule="auto"/>
              <w:rPr>
                <w:rFonts w:ascii="Helvetica Neue" w:cs="Helvetica Neue" w:eastAsia="Helvetica Neue" w:hAnsi="Helvetica Neue"/>
                <w:sz w:val="16"/>
                <w:szCs w:val="16"/>
              </w:rPr>
            </w:pPr>
            <w:r>
              <w:rPr>
                <w:rFonts w:ascii="Helvetica Neue" w:cs="Helvetica Neue" w:eastAsia="Helvetica Neue" w:hAnsi="Helvetica Neue"/>
                <w:color w:val="233447"/>
                <w:sz w:val="16"/>
                <w:szCs w:val="16"/>
                <w:rtl w:val="0"/>
              </w:rPr>
              <w:t>Falschzuordnungen mit ARIS-Sicht erklären</w:t>
            </w:r>
          </w:p>
        </w:tc>
      </w:tr>
      <w:tr>
        <w:trPr>
          <w:cantSplit w:val="1"/>
          <w:tblHeader w:val="0"/>
        </w:trPr>
        <w:tc>
          <w:tcPr>
            <w:tcBorders>
              <w:top w:color="ffffff" w:space="0" w:sz="8" w:val="single"/>
              <w:left w:color="ffffff" w:space="0" w:sz="8" w:val="single"/>
              <w:bottom w:color="ffffff" w:space="0" w:sz="8" w:val="single"/>
              <w:right w:color="ffffff" w:space="0" w:sz="8" w:val="single"/>
            </w:tcBorders>
            <w:shd w:fill="e6f0f8" w:val="clear"/>
            <w:tcMar>
              <w:top w:w="110.0" w:type="dxa"/>
              <w:left w:w="120.0" w:type="dxa"/>
              <w:bottom w:w="110.0" w:type="dxa"/>
              <w:right w:w="120.0" w:type="dxa"/>
            </w:tcMar>
            <w:vAlign w:val="center"/>
          </w:tcPr>
          <w:p w14:paraId="000000B5">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Begriffe</w:t>
            </w:r>
          </w:p>
        </w:tc>
        <w:tc>
          <w:tcPr>
            <w:tcBorders>
              <w:top w:color="ffffff" w:space="0" w:sz="8" w:val="single"/>
              <w:left w:color="ffffff" w:space="0" w:sz="8" w:val="single"/>
              <w:bottom w:color="ffffff" w:space="0" w:sz="8" w:val="single"/>
              <w:right w:color="ffffff" w:space="0" w:sz="8" w:val="single"/>
            </w:tcBorders>
            <w:shd w:fill="f6f9fc" w:val="clear"/>
            <w:tcMar>
              <w:top w:w="110.0" w:type="dxa"/>
              <w:left w:w="120.0" w:type="dxa"/>
              <w:bottom w:w="110.0" w:type="dxa"/>
              <w:right w:w="120.0" w:type="dxa"/>
            </w:tcMar>
            <w:vAlign w:val="center"/>
          </w:tcPr>
          <w:p w14:paraId="000000B6">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Mindestens 80 Prozent im 24-Stunden-Nachtest</w:t>
            </w:r>
          </w:p>
        </w:tc>
        <w:tc>
          <w:tcPr>
            <w:tcBorders>
              <w:top w:color="ffffff" w:space="0" w:sz="8" w:val="single"/>
              <w:left w:color="ffffff" w:space="0" w:sz="8" w:val="single"/>
              <w:bottom w:color="ffffff" w:space="0" w:sz="8" w:val="single"/>
              <w:right w:color="ffffff" w:space="0" w:sz="8" w:val="single"/>
            </w:tcBorders>
            <w:shd w:fill="f6f9fc" w:val="clear"/>
            <w:tcMar>
              <w:top w:w="110.0" w:type="dxa"/>
              <w:left w:w="120.0" w:type="dxa"/>
              <w:bottom w:w="110.0" w:type="dxa"/>
              <w:right w:w="120.0" w:type="dxa"/>
            </w:tcMar>
            <w:vAlign w:val="center"/>
          </w:tcPr>
          <w:p w14:paraId="000000B7">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Kurztest aus eigener Frageliste</w:t>
            </w:r>
          </w:p>
        </w:tc>
        <w:tc>
          <w:tcPr>
            <w:tcBorders>
              <w:top w:color="ffffff" w:space="0" w:sz="8" w:val="single"/>
              <w:left w:color="ffffff" w:space="0" w:sz="8" w:val="single"/>
              <w:bottom w:color="ffffff" w:space="0" w:sz="8" w:val="single"/>
              <w:right w:color="ffffff" w:space="0" w:sz="8" w:val="single"/>
            </w:tcBorders>
            <w:shd w:fill="f6f9fc" w:val="clear"/>
            <w:tcMar>
              <w:top w:w="110.0" w:type="dxa"/>
              <w:left w:w="120.0" w:type="dxa"/>
              <w:bottom w:w="110.0" w:type="dxa"/>
              <w:right w:w="120.0" w:type="dxa"/>
            </w:tcMar>
            <w:vAlign w:val="center"/>
          </w:tcPr>
          <w:p w14:paraId="000000B8">
            <w:pPr>
              <w:spacing w:after="25" w:before="20" w:line="285" w:lineRule="auto"/>
              <w:rPr>
                <w:rFonts w:ascii="Helvetica Neue" w:cs="Helvetica Neue" w:eastAsia="Helvetica Neue" w:hAnsi="Helvetica Neue"/>
                <w:sz w:val="16"/>
                <w:szCs w:val="16"/>
              </w:rPr>
            </w:pPr>
            <w:r>
              <w:rPr>
                <w:rFonts w:ascii="Helvetica Neue" w:cs="Helvetica Neue" w:eastAsia="Helvetica Neue" w:hAnsi="Helvetica Neue"/>
                <w:color w:val="233447"/>
                <w:sz w:val="16"/>
                <w:szCs w:val="16"/>
                <w:rtl w:val="0"/>
              </w:rPr>
              <w:t>Nur fehlerhafte Karten wiederholen</w:t>
            </w:r>
          </w:p>
        </w:tc>
      </w:tr>
      <w:tr>
        <w:trPr>
          <w:cantSplit w:val="1"/>
          <w:tblHeader w:val="0"/>
        </w:trPr>
        <w:tc>
          <w:tcPr>
            <w:tcBorders>
              <w:top w:color="ffffff" w:space="0" w:sz="8" w:val="single"/>
              <w:left w:color="ffffff" w:space="0" w:sz="8" w:val="single"/>
              <w:bottom w:color="ffffff" w:space="0" w:sz="8" w:val="single"/>
              <w:right w:color="ffffff" w:space="0" w:sz="8" w:val="single"/>
            </w:tcBorders>
            <w:shd w:fill="e6f0f8" w:val="clear"/>
            <w:tcMar>
              <w:top w:w="110.0" w:type="dxa"/>
              <w:left w:w="120.0" w:type="dxa"/>
              <w:bottom w:w="110.0" w:type="dxa"/>
              <w:right w:w="120.0" w:type="dxa"/>
            </w:tcMar>
            <w:vAlign w:val="center"/>
          </w:tcPr>
          <w:p w14:paraId="000000B9">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Syntax</w:t>
            </w:r>
          </w:p>
        </w:tc>
        <w:tc>
          <w:tcPr>
            <w:tcBorders>
              <w:top w:color="ffffff" w:space="0" w:sz="8" w:val="single"/>
              <w:left w:color="ffffff" w:space="0" w:sz="8" w:val="single"/>
              <w:bottom w:color="ffffff" w:space="0" w:sz="8" w:val="single"/>
              <w:right w:color="ffffff" w:space="0" w:sz="8" w:val="single"/>
            </w:tcBorders>
            <w:shd w:fill="ffffff" w:val="clear"/>
            <w:tcMar>
              <w:top w:w="110.0" w:type="dxa"/>
              <w:left w:w="120.0" w:type="dxa"/>
              <w:bottom w:w="110.0" w:type="dxa"/>
              <w:right w:w="120.0" w:type="dxa"/>
            </w:tcMar>
            <w:vAlign w:val="center"/>
          </w:tcPr>
          <w:p w14:paraId="000000BA">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0 kritische Verstöße im finalen Modell</w:t>
            </w:r>
          </w:p>
        </w:tc>
        <w:tc>
          <w:tcPr>
            <w:tcBorders>
              <w:top w:color="ffffff" w:space="0" w:sz="8" w:val="single"/>
              <w:left w:color="ffffff" w:space="0" w:sz="8" w:val="single"/>
              <w:bottom w:color="ffffff" w:space="0" w:sz="8" w:val="single"/>
              <w:right w:color="ffffff" w:space="0" w:sz="8" w:val="single"/>
            </w:tcBorders>
            <w:shd w:fill="ffffff" w:val="clear"/>
            <w:tcMar>
              <w:top w:w="110.0" w:type="dxa"/>
              <w:left w:w="120.0" w:type="dxa"/>
              <w:bottom w:w="110.0" w:type="dxa"/>
              <w:right w:w="120.0" w:type="dxa"/>
            </w:tcMar>
            <w:vAlign w:val="center"/>
          </w:tcPr>
          <w:p w14:paraId="000000BB">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Notationseigene Checkliste</w:t>
            </w:r>
          </w:p>
        </w:tc>
        <w:tc>
          <w:tcPr>
            <w:tcBorders>
              <w:top w:color="ffffff" w:space="0" w:sz="8" w:val="single"/>
              <w:left w:color="ffffff" w:space="0" w:sz="8" w:val="single"/>
              <w:bottom w:color="ffffff" w:space="0" w:sz="8" w:val="single"/>
              <w:right w:color="ffffff" w:space="0" w:sz="8" w:val="single"/>
            </w:tcBorders>
            <w:shd w:fill="ffffff" w:val="clear"/>
            <w:tcMar>
              <w:top w:w="110.0" w:type="dxa"/>
              <w:left w:w="120.0" w:type="dxa"/>
              <w:bottom w:w="110.0" w:type="dxa"/>
              <w:right w:w="120.0" w:type="dxa"/>
            </w:tcMar>
            <w:vAlign w:val="center"/>
          </w:tcPr>
          <w:p w14:paraId="000000BC">
            <w:pPr>
              <w:spacing w:after="25" w:before="20" w:line="285" w:lineRule="auto"/>
              <w:rPr>
                <w:rFonts w:ascii="Helvetica Neue" w:cs="Helvetica Neue" w:eastAsia="Helvetica Neue" w:hAnsi="Helvetica Neue"/>
                <w:sz w:val="16"/>
                <w:szCs w:val="16"/>
              </w:rPr>
            </w:pPr>
            <w:r>
              <w:rPr>
                <w:rFonts w:ascii="Helvetica Neue" w:cs="Helvetica Neue" w:eastAsia="Helvetica Neue" w:hAnsi="Helvetica Neue"/>
                <w:color w:val="233447"/>
                <w:sz w:val="16"/>
                <w:szCs w:val="16"/>
                <w:rtl w:val="0"/>
              </w:rPr>
              <w:t>Fehlerart im Protokoll kategorisieren</w:t>
            </w:r>
          </w:p>
        </w:tc>
      </w:tr>
      <w:tr>
        <w:trPr>
          <w:cantSplit w:val="1"/>
          <w:tblHeader w:val="0"/>
        </w:trPr>
        <w:tc>
          <w:tcPr>
            <w:tcBorders>
              <w:top w:color="ffffff" w:space="0" w:sz="8" w:val="single"/>
              <w:left w:color="ffffff" w:space="0" w:sz="8" w:val="single"/>
              <w:bottom w:color="ffffff" w:space="0" w:sz="8" w:val="single"/>
              <w:right w:color="ffffff" w:space="0" w:sz="8" w:val="single"/>
            </w:tcBorders>
            <w:shd w:fill="e6f0f8" w:val="clear"/>
            <w:tcMar>
              <w:top w:w="110.0" w:type="dxa"/>
              <w:left w:w="120.0" w:type="dxa"/>
              <w:bottom w:w="110.0" w:type="dxa"/>
              <w:right w:w="120.0" w:type="dxa"/>
            </w:tcMar>
            <w:vAlign w:val="center"/>
          </w:tcPr>
          <w:p w14:paraId="000000BD">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Modellierung</w:t>
            </w:r>
          </w:p>
        </w:tc>
        <w:tc>
          <w:tcPr>
            <w:tcBorders>
              <w:top w:color="ffffff" w:space="0" w:sz="8" w:val="single"/>
              <w:left w:color="ffffff" w:space="0" w:sz="8" w:val="single"/>
              <w:bottom w:color="ffffff" w:space="0" w:sz="8" w:val="single"/>
              <w:right w:color="ffffff" w:space="0" w:sz="8" w:val="single"/>
            </w:tcBorders>
            <w:shd w:fill="f6f9fc" w:val="clear"/>
            <w:tcMar>
              <w:top w:w="110.0" w:type="dxa"/>
              <w:left w:w="120.0" w:type="dxa"/>
              <w:bottom w:w="110.0" w:type="dxa"/>
              <w:right w:w="120.0" w:type="dxa"/>
            </w:tcMar>
            <w:vAlign w:val="center"/>
          </w:tcPr>
          <w:p w14:paraId="000000BE">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Neuer mittlerer Textfall in 30 Minuten</w:t>
            </w:r>
          </w:p>
        </w:tc>
        <w:tc>
          <w:tcPr>
            <w:tcBorders>
              <w:top w:color="ffffff" w:space="0" w:sz="8" w:val="single"/>
              <w:left w:color="ffffff" w:space="0" w:sz="8" w:val="single"/>
              <w:bottom w:color="ffffff" w:space="0" w:sz="8" w:val="single"/>
              <w:right w:color="ffffff" w:space="0" w:sz="8" w:val="single"/>
            </w:tcBorders>
            <w:shd w:fill="f6f9fc" w:val="clear"/>
            <w:tcMar>
              <w:top w:w="110.0" w:type="dxa"/>
              <w:left w:w="120.0" w:type="dxa"/>
              <w:bottom w:w="110.0" w:type="dxa"/>
              <w:right w:w="120.0" w:type="dxa"/>
            </w:tcMar>
            <w:vAlign w:val="center"/>
          </w:tcPr>
          <w:p w14:paraId="000000BF">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Zeitgestützte Übung ohne Vorlage</w:t>
            </w:r>
          </w:p>
        </w:tc>
        <w:tc>
          <w:tcPr>
            <w:tcBorders>
              <w:top w:color="ffffff" w:space="0" w:sz="8" w:val="single"/>
              <w:left w:color="ffffff" w:space="0" w:sz="8" w:val="single"/>
              <w:bottom w:color="ffffff" w:space="0" w:sz="8" w:val="single"/>
              <w:right w:color="ffffff" w:space="0" w:sz="8" w:val="single"/>
            </w:tcBorders>
            <w:shd w:fill="f6f9fc" w:val="clear"/>
            <w:tcMar>
              <w:top w:w="110.0" w:type="dxa"/>
              <w:left w:w="120.0" w:type="dxa"/>
              <w:bottom w:w="110.0" w:type="dxa"/>
              <w:right w:w="120.0" w:type="dxa"/>
            </w:tcMar>
            <w:vAlign w:val="center"/>
          </w:tcPr>
          <w:p w14:paraId="000000C0">
            <w:pPr>
              <w:spacing w:after="25" w:before="20" w:line="285" w:lineRule="auto"/>
              <w:rPr>
                <w:rFonts w:ascii="Helvetica Neue" w:cs="Helvetica Neue" w:eastAsia="Helvetica Neue" w:hAnsi="Helvetica Neue"/>
                <w:sz w:val="16"/>
                <w:szCs w:val="16"/>
              </w:rPr>
            </w:pPr>
            <w:r>
              <w:rPr>
                <w:rFonts w:ascii="Helvetica Neue" w:cs="Helvetica Neue" w:eastAsia="Helvetica Neue" w:hAnsi="Helvetica Neue"/>
                <w:color w:val="233447"/>
                <w:sz w:val="16"/>
                <w:szCs w:val="16"/>
                <w:rtl w:val="0"/>
              </w:rPr>
              <w:t>Engpass separat trainieren</w:t>
            </w:r>
          </w:p>
        </w:tc>
      </w:tr>
      <w:tr>
        <w:trPr>
          <w:cantSplit w:val="1"/>
          <w:tblHeader w:val="0"/>
        </w:trPr>
        <w:tc>
          <w:tcPr>
            <w:tcBorders>
              <w:top w:color="ffffff" w:space="0" w:sz="8" w:val="single"/>
              <w:left w:color="ffffff" w:space="0" w:sz="8" w:val="single"/>
              <w:bottom w:color="ffffff" w:space="0" w:sz="8" w:val="single"/>
              <w:right w:color="ffffff" w:space="0" w:sz="8" w:val="single"/>
            </w:tcBorders>
            <w:shd w:fill="e6f0f8" w:val="clear"/>
            <w:tcMar>
              <w:top w:w="110.0" w:type="dxa"/>
              <w:left w:w="120.0" w:type="dxa"/>
              <w:bottom w:w="110.0" w:type="dxa"/>
              <w:right w:w="120.0" w:type="dxa"/>
            </w:tcMar>
            <w:vAlign w:val="center"/>
          </w:tcPr>
          <w:p w14:paraId="000000C1">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Erklärung</w:t>
            </w:r>
          </w:p>
        </w:tc>
        <w:tc>
          <w:tcPr>
            <w:tcBorders>
              <w:top w:color="ffffff" w:space="0" w:sz="8" w:val="single"/>
              <w:left w:color="ffffff" w:space="0" w:sz="8" w:val="single"/>
              <w:bottom w:color="ffffff" w:space="0" w:sz="8" w:val="single"/>
              <w:right w:color="ffffff" w:space="0" w:sz="8" w:val="single"/>
            </w:tcBorders>
            <w:shd w:fill="ffffff" w:val="clear"/>
            <w:tcMar>
              <w:top w:w="110.0" w:type="dxa"/>
              <w:left w:w="120.0" w:type="dxa"/>
              <w:bottom w:w="110.0" w:type="dxa"/>
              <w:right w:w="120.0" w:type="dxa"/>
            </w:tcMar>
            <w:vAlign w:val="center"/>
          </w:tcPr>
          <w:p w14:paraId="000000C2">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3 Minuten klar, zweck- und adressatengerecht</w:t>
            </w:r>
          </w:p>
        </w:tc>
        <w:tc>
          <w:tcPr>
            <w:tcBorders>
              <w:top w:color="ffffff" w:space="0" w:sz="8" w:val="single"/>
              <w:left w:color="ffffff" w:space="0" w:sz="8" w:val="single"/>
              <w:bottom w:color="ffffff" w:space="0" w:sz="8" w:val="single"/>
              <w:right w:color="ffffff" w:space="0" w:sz="8" w:val="single"/>
            </w:tcBorders>
            <w:shd w:fill="ffffff" w:val="clear"/>
            <w:tcMar>
              <w:top w:w="110.0" w:type="dxa"/>
              <w:left w:w="120.0" w:type="dxa"/>
              <w:bottom w:w="110.0" w:type="dxa"/>
              <w:right w:w="120.0" w:type="dxa"/>
            </w:tcMar>
            <w:vAlign w:val="center"/>
          </w:tcPr>
          <w:p w14:paraId="000000C3">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Teach-back an Gruppenmitglied</w:t>
            </w:r>
          </w:p>
        </w:tc>
        <w:tc>
          <w:tcPr>
            <w:tcBorders>
              <w:top w:color="ffffff" w:space="0" w:sz="8" w:val="single"/>
              <w:left w:color="ffffff" w:space="0" w:sz="8" w:val="single"/>
              <w:bottom w:color="ffffff" w:space="0" w:sz="8" w:val="single"/>
              <w:right w:color="ffffff" w:space="0" w:sz="8" w:val="single"/>
            </w:tcBorders>
            <w:shd w:fill="ffffff" w:val="clear"/>
            <w:tcMar>
              <w:top w:w="110.0" w:type="dxa"/>
              <w:left w:w="120.0" w:type="dxa"/>
              <w:bottom w:w="110.0" w:type="dxa"/>
              <w:right w:w="120.0" w:type="dxa"/>
            </w:tcMar>
            <w:vAlign w:val="center"/>
          </w:tcPr>
          <w:p w14:paraId="000000C4">
            <w:pPr>
              <w:spacing w:after="25" w:before="20" w:line="285" w:lineRule="auto"/>
              <w:rPr>
                <w:rFonts w:ascii="Helvetica Neue" w:cs="Helvetica Neue" w:eastAsia="Helvetica Neue" w:hAnsi="Helvetica Neue"/>
                <w:sz w:val="16"/>
                <w:szCs w:val="16"/>
              </w:rPr>
            </w:pPr>
            <w:r>
              <w:rPr>
                <w:rFonts w:ascii="Helvetica Neue" w:cs="Helvetica Neue" w:eastAsia="Helvetica Neue" w:hAnsi="Helvetica Neue"/>
                <w:color w:val="233447"/>
                <w:sz w:val="16"/>
                <w:szCs w:val="16"/>
                <w:rtl w:val="0"/>
              </w:rPr>
              <w:t>Begründung statt Symbolaufzählung üben</w:t>
            </w:r>
          </w:p>
        </w:tc>
      </w:tr>
      <w:tr>
        <w:trPr>
          <w:cantSplit w:val="1"/>
          <w:tblHeader w:val="0"/>
        </w:trPr>
        <w:tc>
          <w:tcPr>
            <w:tcBorders>
              <w:top w:color="ffffff" w:space="0" w:sz="8" w:val="single"/>
              <w:left w:color="ffffff" w:space="0" w:sz="8" w:val="single"/>
              <w:bottom w:color="ffffff" w:space="0" w:sz="8" w:val="single"/>
              <w:right w:color="ffffff" w:space="0" w:sz="8" w:val="single"/>
            </w:tcBorders>
            <w:shd w:fill="e6f0f8" w:val="clear"/>
            <w:tcMar>
              <w:top w:w="110.0" w:type="dxa"/>
              <w:left w:w="120.0" w:type="dxa"/>
              <w:bottom w:w="110.0" w:type="dxa"/>
              <w:right w:w="120.0" w:type="dxa"/>
            </w:tcMar>
            <w:vAlign w:val="center"/>
          </w:tcPr>
          <w:p w14:paraId="000000B1">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Konsistenz</w:t>
            </w:r>
          </w:p>
        </w:tc>
        <w:tc>
          <w:tcPr>
            <w:tcBorders>
              <w:top w:color="ffffff" w:space="0" w:sz="8" w:val="single"/>
              <w:left w:color="ffffff" w:space="0" w:sz="8" w:val="single"/>
              <w:bottom w:color="ffffff" w:space="0" w:sz="8" w:val="single"/>
              <w:right w:color="ffffff" w:space="0" w:sz="8" w:val="single"/>
            </w:tcBorders>
            <w:shd w:fill="ffffff" w:val="clear"/>
            <w:tcMar>
              <w:top w:w="110.0" w:type="dxa"/>
              <w:left w:w="120.0" w:type="dxa"/>
              <w:bottom w:w="110.0" w:type="dxa"/>
              <w:right w:w="120.0" w:type="dxa"/>
            </w:tcMar>
            <w:vAlign w:val="center"/>
          </w:tcPr>
          <w:p w14:paraId="000000B2">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Gleiche Begriffe und Regeln in allen Projektmodellen</w:t>
            </w:r>
          </w:p>
        </w:tc>
        <w:tc>
          <w:tcPr>
            <w:tcBorders>
              <w:top w:color="ffffff" w:space="0" w:sz="8" w:val="single"/>
              <w:left w:color="ffffff" w:space="0" w:sz="8" w:val="single"/>
              <w:bottom w:color="ffffff" w:space="0" w:sz="8" w:val="single"/>
              <w:right w:color="ffffff" w:space="0" w:sz="8" w:val="single"/>
            </w:tcBorders>
            <w:shd w:fill="ffffff" w:val="clear"/>
            <w:tcMar>
              <w:top w:w="110.0" w:type="dxa"/>
              <w:left w:w="120.0" w:type="dxa"/>
              <w:bottom w:w="110.0" w:type="dxa"/>
              <w:right w:w="120.0" w:type="dxa"/>
            </w:tcMar>
            <w:vAlign w:val="center"/>
          </w:tcPr>
          <w:p w14:paraId="000000B3">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Quervergleich Use Case, Prozess, Daten, Klasse und Sequenz</w:t>
            </w:r>
          </w:p>
        </w:tc>
        <w:tc>
          <w:tcPr>
            <w:tcBorders>
              <w:top w:color="ffffff" w:space="0" w:sz="8" w:val="single"/>
              <w:left w:color="ffffff" w:space="0" w:sz="8" w:val="single"/>
              <w:bottom w:color="ffffff" w:space="0" w:sz="8" w:val="single"/>
              <w:right w:color="ffffff" w:space="0" w:sz="8" w:val="single"/>
            </w:tcBorders>
            <w:shd w:fill="ffffff" w:val="clear"/>
            <w:tcMar>
              <w:top w:w="110.0" w:type="dxa"/>
              <w:left w:w="120.0" w:type="dxa"/>
              <w:bottom w:w="110.0" w:type="dxa"/>
              <w:right w:w="120.0" w:type="dxa"/>
            </w:tcMar>
            <w:vAlign w:val="center"/>
          </w:tcPr>
          <w:p w14:paraId="000000B4">
            <w:pPr>
              <w:spacing w:after="25" w:before="20" w:line="285" w:lineRule="auto"/>
              <w:rPr>
                <w:rFonts w:ascii="Helvetica Neue" w:cs="Helvetica Neue" w:eastAsia="Helvetica Neue" w:hAnsi="Helvetica Neue"/>
                <w:sz w:val="16"/>
                <w:szCs w:val="16"/>
              </w:rPr>
            </w:pPr>
            <w:r>
              <w:rPr>
                <w:rFonts w:ascii="Helvetica Neue" w:cs="Helvetica Neue" w:eastAsia="Helvetica Neue" w:hAnsi="Helvetica Neue"/>
                <w:color w:val="233447"/>
                <w:sz w:val="16"/>
                <w:szCs w:val="16"/>
                <w:rtl w:val="0"/>
              </w:rPr>
              <w:t>Gemeinsames Glossar aktualisieren</w:t>
            </w:r>
          </w:p>
        </w:tc>
      </w:tr>
    </w:tbl>
    <w:p>
      <w:pPr>
        <w:spacing w:after="60"/>
      </w:pPr>
    </w:p>
    <w:p>
      <w:pPr>
        <w:pStyle w:val="Heading2"/>
        <w:keepNext/>
        <w:spacing w:before="160" w:after="80"/>
      </w:pPr>
      <w:r>
        <w:rPr>
          <w:rFonts w:ascii="Helvetica Neue" w:hAnsi="Helvetica Neue"/>
          <w:b/>
          <w:color w:val="5B7085"/>
          <w:sz w:val="21"/>
        </w:rPr>
        <w:t>Prüfungsleistung vorbereiten</w:t>
      </w:r>
    </w:p>
    <w:p>
      <w:pPr>
        <w:keepLines w:val="0"/>
        <w:spacing w:before="0" w:after="110" w:line="300" w:lineRule="auto"/>
        <w:jc w:val="both"/>
      </w:pPr>
      <w:r>
        <w:rPr>
          <w:rFonts w:ascii="Helvetica Neue" w:hAnsi="Helvetica Neue"/>
          <w:b/>
          <w:color w:val="082A4A"/>
          <w:sz w:val="21"/>
        </w:rPr>
        <w:t xml:space="preserve">Gesichert: </w:t>
      </w:r>
      <w:r>
        <w:rPr>
          <w:rFonts w:ascii="Helvetica Neue" w:hAnsi="Helvetica Neue"/>
          <w:color w:val="233447"/>
          <w:sz w:val="21"/>
        </w:rPr>
        <w:t>Die Übungsaufgabe bestimmt 100 Prozent der Modulnote (Kursinformation 04.08.2026); Arbeit in 2-3er-Gruppen; Aufgabe inklusive Musterlösung und Betreuung; separater Projektbonus von 0,3 Notenpunkten bei vollständiger Modellierung.</w:t>
      </w:r>
    </w:p>
    <w:p>
      <w:pPr>
        <w:keepLines w:val="0"/>
        <w:spacing w:before="0" w:after="110" w:line="300" w:lineRule="auto"/>
        <w:jc w:val="both"/>
      </w:pPr>
      <w:r>
        <w:rPr>
          <w:rFonts w:ascii="Helvetica Neue" w:hAnsi="Helvetica Neue"/>
          <w:b/>
          <w:color w:val="082A4A"/>
          <w:sz w:val="21"/>
        </w:rPr>
        <w:t xml:space="preserve">Noch klären: </w:t>
      </w:r>
      <w:r>
        <w:rPr>
          <w:rFonts w:ascii="Helvetica Neue" w:hAnsi="Helvetica Neue"/>
          <w:color w:val="233447"/>
          <w:sz w:val="21"/>
        </w:rPr>
        <w:t>Thema, Aufgabenumfang, Termin, Bewertungsrubrik, Individualanteil und Abgabeformat. Die 30-35 Minuten beziehen sich laut Konzept auf den Dozentenanteil.</w:t>
      </w:r>
    </w:p>
    <w:p>
      <w:pPr>
        <w:pStyle w:val="Heading2"/>
        <w:keepNext/>
        <w:spacing w:before="160" w:after="80"/>
      </w:pPr>
      <w:r>
        <w:rPr>
          <w:rFonts w:ascii="Helvetica Neue" w:hAnsi="Helvetica Neue"/>
          <w:b/>
          <w:color w:val="5B7085"/>
          <w:sz w:val="21"/>
        </w:rPr>
        <w:t>Qualitätscheck für eure Übung</w:t>
      </w:r>
    </w:p>
    <w:tbl>
      <w:tblPr>
        <w:tblStyle w:val="Table9"/>
        <w:tblW w:w="10440.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00"/>
      </w:tblPr>
      <w:tblGrid>
        <w:gridCol w:w="2954"/>
        <w:gridCol w:w="3713"/>
        <w:gridCol w:w="3773"/>
        <w:tblGridChange w:id="0">
          <w:tblGrid>
            <w:gridCol w:w="2954"/>
            <w:gridCol w:w="3713"/>
            <w:gridCol w:w="3773"/>
          </w:tblGrid>
        </w:tblGridChange>
      </w:tblGrid>
      <w:tr>
        <w:trPr>
          <w:cantSplit w:val="1"/>
          <w:tblHeader w:val="1"/>
        </w:trPr>
        <w:tc>
          <w:tcPr>
            <w:tcBorders>
              <w:top w:color="ffffff" w:space="0" w:sz="6" w:val="single"/>
              <w:left w:color="ffffff" w:space="0" w:sz="6" w:val="single"/>
              <w:bottom w:color="ffffff" w:space="0" w:sz="6" w:val="single"/>
              <w:right w:color="ffffff" w:space="0" w:sz="6" w:val="single"/>
            </w:tcBorders>
            <w:shd w:fill="082a4a" w:val="clear"/>
            <w:tcMar>
              <w:top w:w="110.0" w:type="dxa"/>
              <w:left w:w="120.0" w:type="dxa"/>
              <w:bottom w:w="110.0" w:type="dxa"/>
              <w:right w:w="120.0" w:type="dxa"/>
            </w:tcMar>
            <w:vAlign w:val="center"/>
          </w:tcPr>
          <w:p w14:paraId="000000E5">
            <w:pPr>
              <w:spacing w:after="0" w:before="20" w:line="265" w:lineRule="auto"/>
              <w:rPr>
                <w:rFonts w:ascii="Helvetica Neue" w:cs="Helvetica Neue" w:eastAsia="Helvetica Neue" w:hAnsi="Helvetica Neue"/>
              </w:rPr>
            </w:pPr>
            <w:r>
              <w:rPr>
                <w:rFonts w:ascii="Helvetica Neue" w:cs="Helvetica Neue" w:eastAsia="Helvetica Neue" w:hAnsi="Helvetica Neue"/>
                <w:b w:val="1"/>
                <w:bCs w:val="1"/>
                <w:color w:val="ffffff"/>
                <w:rtl w:val="0"/>
              </w:rPr>
              <w:t>Baustein</w:t>
            </w:r>
          </w:p>
        </w:tc>
        <w:tc>
          <w:tcPr>
            <w:tcBorders>
              <w:top w:color="ffffff" w:space="0" w:sz="6" w:val="single"/>
              <w:left w:color="ffffff" w:space="0" w:sz="6" w:val="single"/>
              <w:bottom w:color="ffffff" w:space="0" w:sz="6" w:val="single"/>
              <w:right w:color="ffffff" w:space="0" w:sz="6" w:val="single"/>
            </w:tcBorders>
            <w:shd w:fill="082a4a" w:val="clear"/>
            <w:tcMar>
              <w:top w:w="110.0" w:type="dxa"/>
              <w:left w:w="120.0" w:type="dxa"/>
              <w:bottom w:w="110.0" w:type="dxa"/>
              <w:right w:w="120.0" w:type="dxa"/>
            </w:tcMar>
            <w:vAlign w:val="center"/>
          </w:tcPr>
          <w:p w14:paraId="000000E6">
            <w:pPr>
              <w:spacing w:after="0" w:before="20" w:line="265" w:lineRule="auto"/>
              <w:rPr>
                <w:rFonts w:ascii="Helvetica Neue" w:cs="Helvetica Neue" w:eastAsia="Helvetica Neue" w:hAnsi="Helvetica Neue"/>
              </w:rPr>
            </w:pPr>
            <w:r>
              <w:rPr>
                <w:rFonts w:ascii="Helvetica Neue" w:cs="Helvetica Neue" w:eastAsia="Helvetica Neue" w:hAnsi="Helvetica Neue"/>
                <w:b w:val="1"/>
                <w:bCs w:val="1"/>
                <w:color w:val="ffffff"/>
                <w:rtl w:val="0"/>
              </w:rPr>
              <w:t>Mindestinhalt</w:t>
            </w:r>
          </w:p>
        </w:tc>
        <w:tc>
          <w:tcPr>
            <w:tcBorders>
              <w:top w:color="ffffff" w:space="0" w:sz="6" w:val="single"/>
              <w:left w:color="ffffff" w:space="0" w:sz="6" w:val="single"/>
              <w:bottom w:color="ffffff" w:space="0" w:sz="6" w:val="single"/>
              <w:right w:color="ffffff" w:space="0" w:sz="6" w:val="single"/>
            </w:tcBorders>
            <w:shd w:fill="082a4a" w:val="clear"/>
            <w:tcMar>
              <w:top w:w="110.0" w:type="dxa"/>
              <w:left w:w="120.0" w:type="dxa"/>
              <w:bottom w:w="110.0" w:type="dxa"/>
              <w:right w:w="120.0" w:type="dxa"/>
            </w:tcMar>
            <w:vAlign w:val="center"/>
          </w:tcPr>
          <w:p w14:paraId="000000E7">
            <w:pPr>
              <w:spacing w:after="0" w:before="20" w:line="265" w:lineRule="auto"/>
              <w:rPr>
                <w:rFonts w:ascii="Helvetica Neue" w:cs="Helvetica Neue" w:eastAsia="Helvetica Neue" w:hAnsi="Helvetica Neue"/>
              </w:rPr>
            </w:pPr>
            <w:r>
              <w:rPr>
                <w:rFonts w:ascii="Helvetica Neue" w:cs="Helvetica Neue" w:eastAsia="Helvetica Neue" w:hAnsi="Helvetica Neue"/>
                <w:b w:val="1"/>
                <w:bCs w:val="1"/>
                <w:color w:val="ffffff"/>
                <w:rtl w:val="0"/>
              </w:rPr>
              <w:t>Abnahmekriterium</w:t>
            </w:r>
          </w:p>
        </w:tc>
      </w:tr>
      <w:tr>
        <w:trPr>
          <w:cantSplit w:val="1"/>
          <w:tblHeader w:val="0"/>
        </w:trPr>
        <w:tc>
          <w:tcPr>
            <w:tcBorders>
              <w:top w:color="ffffff" w:space="0" w:sz="6" w:val="single"/>
              <w:left w:color="ffffff" w:space="0" w:sz="6" w:val="single"/>
              <w:bottom w:color="ffffff" w:space="0" w:sz="6" w:val="single"/>
              <w:right w:color="ffffff" w:space="0" w:sz="6" w:val="single"/>
            </w:tcBorders>
            <w:shd w:fill="e6f0f8" w:val="clear"/>
            <w:tcMar>
              <w:top w:w="110.0" w:type="dxa"/>
              <w:left w:w="120.0" w:type="dxa"/>
              <w:bottom w:w="110.0" w:type="dxa"/>
              <w:right w:w="120.0" w:type="dxa"/>
            </w:tcMar>
            <w:vAlign w:val="center"/>
          </w:tcPr>
          <w:p w14:paraId="000000E8">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Aufgabenstellung</w:t>
            </w:r>
          </w:p>
        </w:tc>
        <w:tc>
          <w:tcPr>
            <w:tcBorders>
              <w:top w:color="ffffff" w:space="0" w:sz="6" w:val="single"/>
              <w:left w:color="ffffff" w:space="0" w:sz="6" w:val="single"/>
              <w:bottom w:color="ffffff" w:space="0" w:sz="6" w:val="single"/>
              <w:right w:color="ffffff" w:space="0" w:sz="6" w:val="single"/>
            </w:tcBorders>
            <w:shd w:fill="ffffff" w:val="clear"/>
            <w:tcMar>
              <w:top w:w="110.0" w:type="dxa"/>
              <w:left w:w="120.0" w:type="dxa"/>
              <w:bottom w:w="110.0" w:type="dxa"/>
              <w:right w:w="120.0" w:type="dxa"/>
            </w:tcMar>
            <w:vAlign w:val="center"/>
          </w:tcPr>
          <w:p w14:paraId="000000E9">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Realistischer Fall, klare Grenze, nur benötigte Informationen.</w:t>
            </w:r>
          </w:p>
        </w:tc>
        <w:tc>
          <w:tcPr>
            <w:tcBorders>
              <w:top w:color="ffffff" w:space="0" w:sz="6" w:val="single"/>
              <w:left w:color="ffffff" w:space="0" w:sz="6" w:val="single"/>
              <w:bottom w:color="ffffff" w:space="0" w:sz="6" w:val="single"/>
              <w:right w:color="ffffff" w:space="0" w:sz="6" w:val="single"/>
            </w:tcBorders>
            <w:shd w:fill="ffffff" w:val="clear"/>
            <w:tcMar>
              <w:top w:w="110.0" w:type="dxa"/>
              <w:left w:w="120.0" w:type="dxa"/>
              <w:bottom w:w="110.0" w:type="dxa"/>
              <w:right w:w="120.0" w:type="dxa"/>
            </w:tcMar>
            <w:vAlign w:val="center"/>
          </w:tcPr>
          <w:p w14:paraId="000000EA">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Ohne Rückfrage modellierbar</w:t>
            </w:r>
          </w:p>
        </w:tc>
      </w:tr>
      <w:tr>
        <w:trPr>
          <w:cantSplit w:val="1"/>
          <w:tblHeader w:val="0"/>
        </w:trPr>
        <w:tc>
          <w:tcPr>
            <w:tcBorders>
              <w:top w:color="ffffff" w:space="0" w:sz="6" w:val="single"/>
              <w:left w:color="ffffff" w:space="0" w:sz="6" w:val="single"/>
              <w:bottom w:color="ffffff" w:space="0" w:sz="6" w:val="single"/>
              <w:right w:color="ffffff" w:space="0" w:sz="6" w:val="single"/>
            </w:tcBorders>
            <w:shd w:fill="e6f0f8" w:val="clear"/>
            <w:tcMar>
              <w:top w:w="110.0" w:type="dxa"/>
              <w:left w:w="120.0" w:type="dxa"/>
              <w:bottom w:w="110.0" w:type="dxa"/>
              <w:right w:w="120.0" w:type="dxa"/>
            </w:tcMar>
            <w:vAlign w:val="center"/>
          </w:tcPr>
          <w:p w14:paraId="000000EB">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Annahmen</w:t>
            </w:r>
          </w:p>
        </w:tc>
        <w:tc>
          <w:tcPr>
            <w:tcBorders>
              <w:top w:color="ffffff" w:space="0" w:sz="6" w:val="single"/>
              <w:left w:color="ffffff" w:space="0" w:sz="6" w:val="single"/>
              <w:bottom w:color="ffffff" w:space="0" w:sz="6" w:val="single"/>
              <w:right w:color="ffffff" w:space="0" w:sz="6" w:val="single"/>
            </w:tcBorders>
            <w:shd w:fill="f6f9fc" w:val="clear"/>
            <w:tcMar>
              <w:top w:w="110.0" w:type="dxa"/>
              <w:left w:w="120.0" w:type="dxa"/>
              <w:bottom w:w="110.0" w:type="dxa"/>
              <w:right w:w="120.0" w:type="dxa"/>
            </w:tcMar>
            <w:vAlign w:val="center"/>
          </w:tcPr>
          <w:p w14:paraId="000000EC">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Offene Sachverhalte ausdrücklich festgelegt.</w:t>
            </w:r>
          </w:p>
        </w:tc>
        <w:tc>
          <w:tcPr>
            <w:tcBorders>
              <w:top w:color="ffffff" w:space="0" w:sz="6" w:val="single"/>
              <w:left w:color="ffffff" w:space="0" w:sz="6" w:val="single"/>
              <w:bottom w:color="ffffff" w:space="0" w:sz="6" w:val="single"/>
              <w:right w:color="ffffff" w:space="0" w:sz="6" w:val="single"/>
            </w:tcBorders>
            <w:shd w:fill="f6f9fc" w:val="clear"/>
            <w:tcMar>
              <w:top w:w="110.0" w:type="dxa"/>
              <w:left w:w="120.0" w:type="dxa"/>
              <w:bottom w:w="110.0" w:type="dxa"/>
              <w:right w:w="120.0" w:type="dxa"/>
            </w:tcMar>
            <w:vAlign w:val="center"/>
          </w:tcPr>
          <w:p w14:paraId="000000ED">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Keine versteckte Zusatzlogik</w:t>
            </w:r>
          </w:p>
        </w:tc>
      </w:tr>
      <w:tr>
        <w:trPr>
          <w:cantSplit w:val="1"/>
          <w:tblHeader w:val="0"/>
        </w:trPr>
        <w:tc>
          <w:tcPr>
            <w:tcBorders>
              <w:top w:color="ffffff" w:space="0" w:sz="6" w:val="single"/>
              <w:left w:color="ffffff" w:space="0" w:sz="6" w:val="single"/>
              <w:bottom w:color="ffffff" w:space="0" w:sz="6" w:val="single"/>
              <w:right w:color="ffffff" w:space="0" w:sz="6" w:val="single"/>
            </w:tcBorders>
            <w:shd w:fill="e6f0f8" w:val="clear"/>
            <w:tcMar>
              <w:top w:w="110.0" w:type="dxa"/>
              <w:left w:w="120.0" w:type="dxa"/>
              <w:bottom w:w="110.0" w:type="dxa"/>
              <w:right w:w="120.0" w:type="dxa"/>
            </w:tcMar>
            <w:vAlign w:val="center"/>
          </w:tcPr>
          <w:p w14:paraId="000000EE">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Musterlösung</w:t>
            </w:r>
          </w:p>
        </w:tc>
        <w:tc>
          <w:tcPr>
            <w:tcBorders>
              <w:top w:color="ffffff" w:space="0" w:sz="6" w:val="single"/>
              <w:left w:color="ffffff" w:space="0" w:sz="6" w:val="single"/>
              <w:bottom w:color="ffffff" w:space="0" w:sz="6" w:val="single"/>
              <w:right w:color="ffffff" w:space="0" w:sz="6" w:val="single"/>
            </w:tcBorders>
            <w:shd w:fill="ffffff" w:val="clear"/>
            <w:tcMar>
              <w:top w:w="110.0" w:type="dxa"/>
              <w:left w:w="120.0" w:type="dxa"/>
              <w:bottom w:w="110.0" w:type="dxa"/>
              <w:right w:w="120.0" w:type="dxa"/>
            </w:tcMar>
            <w:vAlign w:val="center"/>
          </w:tcPr>
          <w:p w14:paraId="000000EF">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Sauberes Modell plus begründete Entscheidungen.</w:t>
            </w:r>
          </w:p>
        </w:tc>
        <w:tc>
          <w:tcPr>
            <w:tcBorders>
              <w:top w:color="ffffff" w:space="0" w:sz="6" w:val="single"/>
              <w:left w:color="ffffff" w:space="0" w:sz="6" w:val="single"/>
              <w:bottom w:color="ffffff" w:space="0" w:sz="6" w:val="single"/>
              <w:right w:color="ffffff" w:space="0" w:sz="6" w:val="single"/>
            </w:tcBorders>
            <w:shd w:fill="ffffff" w:val="clear"/>
            <w:tcMar>
              <w:top w:w="110.0" w:type="dxa"/>
              <w:left w:w="120.0" w:type="dxa"/>
              <w:bottom w:w="110.0" w:type="dxa"/>
              <w:right w:w="120.0" w:type="dxa"/>
            </w:tcMar>
            <w:vAlign w:val="center"/>
          </w:tcPr>
          <w:p w14:paraId="000000F0">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Jeder Zweig zur Aufgabe rückverfolgbar</w:t>
            </w:r>
          </w:p>
        </w:tc>
      </w:tr>
      <w:tr>
        <w:trPr>
          <w:cantSplit w:val="1"/>
          <w:tblHeader w:val="0"/>
        </w:trPr>
        <w:tc>
          <w:tcPr>
            <w:tcBorders>
              <w:top w:color="ffffff" w:space="0" w:sz="6" w:val="single"/>
              <w:left w:color="ffffff" w:space="0" w:sz="6" w:val="single"/>
              <w:bottom w:color="ffffff" w:space="0" w:sz="6" w:val="single"/>
              <w:right w:color="ffffff" w:space="0" w:sz="6" w:val="single"/>
            </w:tcBorders>
            <w:shd w:fill="e6f0f8" w:val="clear"/>
            <w:tcMar>
              <w:top w:w="110.0" w:type="dxa"/>
              <w:left w:w="120.0" w:type="dxa"/>
              <w:bottom w:w="110.0" w:type="dxa"/>
              <w:right w:w="120.0" w:type="dxa"/>
            </w:tcMar>
            <w:vAlign w:val="center"/>
          </w:tcPr>
          <w:p w14:paraId="000000F1">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Syntaxcheck</w:t>
            </w:r>
          </w:p>
        </w:tc>
        <w:tc>
          <w:tcPr>
            <w:tcBorders>
              <w:top w:color="ffffff" w:space="0" w:sz="6" w:val="single"/>
              <w:left w:color="ffffff" w:space="0" w:sz="6" w:val="single"/>
              <w:bottom w:color="ffffff" w:space="0" w:sz="6" w:val="single"/>
              <w:right w:color="ffffff" w:space="0" w:sz="6" w:val="single"/>
            </w:tcBorders>
            <w:shd w:fill="f6f9fc" w:val="clear"/>
            <w:tcMar>
              <w:top w:w="110.0" w:type="dxa"/>
              <w:left w:w="120.0" w:type="dxa"/>
              <w:bottom w:w="110.0" w:type="dxa"/>
              <w:right w:w="120.0" w:type="dxa"/>
            </w:tcMar>
            <w:vAlign w:val="center"/>
          </w:tcPr>
          <w:p w14:paraId="000000F2">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Notationseigene Regeln vollständig geprüft.</w:t>
            </w:r>
          </w:p>
        </w:tc>
        <w:tc>
          <w:tcPr>
            <w:tcBorders>
              <w:top w:color="ffffff" w:space="0" w:sz="6" w:val="single"/>
              <w:left w:color="ffffff" w:space="0" w:sz="6" w:val="single"/>
              <w:bottom w:color="ffffff" w:space="0" w:sz="6" w:val="single"/>
              <w:right w:color="ffffff" w:space="0" w:sz="6" w:val="single"/>
            </w:tcBorders>
            <w:shd w:fill="f6f9fc" w:val="clear"/>
            <w:tcMar>
              <w:top w:w="110.0" w:type="dxa"/>
              <w:left w:w="120.0" w:type="dxa"/>
              <w:bottom w:w="110.0" w:type="dxa"/>
              <w:right w:w="120.0" w:type="dxa"/>
            </w:tcMar>
            <w:vAlign w:val="center"/>
          </w:tcPr>
          <w:p w14:paraId="000000F3">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Keine kritischen Verstöße</w:t>
            </w:r>
          </w:p>
        </w:tc>
      </w:tr>
      <w:tr>
        <w:trPr>
          <w:cantSplit w:val="1"/>
          <w:tblHeader w:val="0"/>
        </w:trPr>
        <w:tc>
          <w:tcPr>
            <w:tcBorders>
              <w:top w:color="ffffff" w:space="0" w:sz="6" w:val="single"/>
              <w:left w:color="ffffff" w:space="0" w:sz="6" w:val="single"/>
              <w:bottom w:color="ffffff" w:space="0" w:sz="6" w:val="single"/>
              <w:right w:color="ffffff" w:space="0" w:sz="6" w:val="single"/>
            </w:tcBorders>
            <w:shd w:fill="e6f0f8" w:val="clear"/>
            <w:tcMar>
              <w:top w:w="110.0" w:type="dxa"/>
              <w:left w:w="120.0" w:type="dxa"/>
              <w:bottom w:w="110.0" w:type="dxa"/>
              <w:right w:w="120.0" w:type="dxa"/>
            </w:tcMar>
            <w:vAlign w:val="center"/>
          </w:tcPr>
          <w:p w14:paraId="000000E8">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Betreuung</w:t>
            </w:r>
          </w:p>
        </w:tc>
        <w:tc>
          <w:tcPr>
            <w:tcBorders>
              <w:top w:color="ffffff" w:space="0" w:sz="6" w:val="single"/>
              <w:left w:color="ffffff" w:space="0" w:sz="6" w:val="single"/>
              <w:bottom w:color="ffffff" w:space="0" w:sz="6" w:val="single"/>
              <w:right w:color="ffffff" w:space="0" w:sz="6" w:val="single"/>
            </w:tcBorders>
            <w:shd w:fill="ffffff" w:val="clear"/>
            <w:tcMar>
              <w:top w:w="110.0" w:type="dxa"/>
              <w:left w:w="120.0" w:type="dxa"/>
              <w:bottom w:w="110.0" w:type="dxa"/>
              <w:right w:w="120.0" w:type="dxa"/>
            </w:tcMar>
            <w:vAlign w:val="center"/>
          </w:tcPr>
          <w:p w14:paraId="000000E9">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Hinweise in Stufen, Rückfragen und kurze Auswertung.</w:t>
            </w:r>
          </w:p>
        </w:tc>
        <w:tc>
          <w:tcPr>
            <w:tcBorders>
              <w:top w:color="ffffff" w:space="0" w:sz="6" w:val="single"/>
              <w:left w:color="ffffff" w:space="0" w:sz="6" w:val="single"/>
              <w:bottom w:color="ffffff" w:space="0" w:sz="6" w:val="single"/>
              <w:right w:color="ffffff" w:space="0" w:sz="6" w:val="single"/>
            </w:tcBorders>
            <w:shd w:fill="ffffff" w:val="clear"/>
            <w:tcMar>
              <w:top w:w="110.0" w:type="dxa"/>
              <w:left w:w="120.0" w:type="dxa"/>
              <w:bottom w:w="110.0" w:type="dxa"/>
              <w:right w:w="120.0" w:type="dxa"/>
            </w:tcMar>
            <w:vAlign w:val="center"/>
          </w:tcPr>
          <w:p w14:paraId="000000EA">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Gruppe arbeitet selbst, nicht durch Vorsagen</w:t>
            </w:r>
          </w:p>
        </w:tc>
      </w:tr>
      <w:tr>
        <w:trPr>
          <w:cantSplit w:val="1"/>
          <w:tblHeader w:val="0"/>
        </w:trPr>
        <w:tc>
          <w:tcPr>
            <w:tcBorders>
              <w:top w:color="ffffff" w:space="0" w:sz="6" w:val="single"/>
              <w:left w:color="ffffff" w:space="0" w:sz="6" w:val="single"/>
              <w:bottom w:color="ffffff" w:space="0" w:sz="6" w:val="single"/>
              <w:right w:color="ffffff" w:space="0" w:sz="6" w:val="single"/>
            </w:tcBorders>
            <w:shd w:fill="e6f0f8" w:val="clear"/>
            <w:tcMar>
              <w:top w:w="110.0" w:type="dxa"/>
              <w:left w:w="120.0" w:type="dxa"/>
              <w:bottom w:w="110.0" w:type="dxa"/>
              <w:right w:w="120.0" w:type="dxa"/>
            </w:tcMar>
            <w:vAlign w:val="center"/>
          </w:tcPr>
          <w:p w14:paraId="000000EB">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Zeitplan</w:t>
            </w:r>
          </w:p>
        </w:tc>
        <w:tc>
          <w:tcPr>
            <w:tcBorders>
              <w:top w:color="ffffff" w:space="0" w:sz="6" w:val="single"/>
              <w:left w:color="ffffff" w:space="0" w:sz="6" w:val="single"/>
              <w:bottom w:color="ffffff" w:space="0" w:sz="6" w:val="single"/>
              <w:right w:color="ffffff" w:space="0" w:sz="6" w:val="single"/>
            </w:tcBorders>
            <w:shd w:fill="f6f9fc" w:val="clear"/>
            <w:tcMar>
              <w:top w:w="110.0" w:type="dxa"/>
              <w:left w:w="120.0" w:type="dxa"/>
              <w:bottom w:w="110.0" w:type="dxa"/>
              <w:right w:w="120.0" w:type="dxa"/>
            </w:tcMar>
            <w:vAlign w:val="center"/>
          </w:tcPr>
          <w:p w14:paraId="000000EC">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Einführung, Arbeitszeit, Vergleich und Reserve.</w:t>
            </w:r>
          </w:p>
        </w:tc>
        <w:tc>
          <w:tcPr>
            <w:tcBorders>
              <w:top w:color="ffffff" w:space="0" w:sz="6" w:val="single"/>
              <w:left w:color="ffffff" w:space="0" w:sz="6" w:val="single"/>
              <w:bottom w:color="ffffff" w:space="0" w:sz="6" w:val="single"/>
              <w:right w:color="ffffff" w:space="0" w:sz="6" w:val="single"/>
            </w:tcBorders>
            <w:shd w:fill="f6f9fc" w:val="clear"/>
            <w:tcMar>
              <w:top w:w="110.0" w:type="dxa"/>
              <w:left w:w="120.0" w:type="dxa"/>
              <w:bottom w:w="110.0" w:type="dxa"/>
              <w:right w:w="120.0" w:type="dxa"/>
            </w:tcMar>
            <w:vAlign w:val="center"/>
          </w:tcPr>
          <w:p w14:paraId="000000ED">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Passt zur noch zu bestätigenden Übungsdauer</w:t>
            </w:r>
          </w:p>
        </w:tc>
      </w:tr>
    </w:tbl>
    <w:p>
      <w:pPr>
        <w:spacing w:after="60"/>
      </w:pPr>
    </w:p>
    <w:p>
      <w:pPr>
        <w:pStyle w:val="Heading1"/>
        <w:keepNext/>
        <w:pageBreakBefore w:val="0"/>
      </w:pPr>
      <w:r>
        <w:rPr>
          <w:rFonts w:ascii="Helvetica Neue" w:hAnsi="Helvetica Neue"/>
          <w:color w:val="082A4A"/>
        </w:rPr>
        <w:t>10.  Modellwahl und Zusammenspiel</w:t>
      </w:r>
    </w:p>
    <w:p>
      <w:pPr>
        <w:keepLines w:val="0"/>
        <w:spacing w:before="0" w:after="110" w:line="300" w:lineRule="auto"/>
        <w:jc w:val="both"/>
      </w:pPr>
      <w:r>
        <w:rPr>
          <w:rFonts w:ascii="Helvetica Neue" w:hAnsi="Helvetica Neue"/>
          <w:color w:val="233447"/>
          <w:sz w:val="21"/>
        </w:rPr>
        <w:t>Wähle nie nach dem Symbol, das du am besten kennst, sondern nach der Frage. Mehrere Modelle können denselben Fall beleuchten, beantworten aber unterschiedliche Fragen.</w:t>
      </w:r>
    </w:p>
    <w:tbl>
      <w:tblPr>
        <w:tblStyle w:val="Table8"/>
        <w:tblW w:w="10440.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00"/>
      </w:tblPr>
      <w:tblGrid>
        <w:gridCol w:w="3303"/>
        <w:gridCol w:w="3313"/>
        <w:gridCol w:w="3824"/>
        <w:tblGridChange w:id="0">
          <w:tblGrid>
            <w:gridCol w:w="3303"/>
            <w:gridCol w:w="3313"/>
            <w:gridCol w:w="3824"/>
          </w:tblGrid>
        </w:tblGridChange>
      </w:tblGrid>
      <w:tr>
        <w:trPr>
          <w:cantSplit w:val="1"/>
          <w:tblHeader w:val="1"/>
        </w:trPr>
        <w:tc>
          <w:tcPr>
            <w:tcBorders>
              <w:top w:color="ffffff" w:space="0" w:sz="6" w:val="single"/>
              <w:left w:color="ffffff" w:space="0" w:sz="6" w:val="single"/>
              <w:bottom w:color="ffffff" w:space="0" w:sz="6" w:val="single"/>
              <w:right w:color="ffffff" w:space="0" w:sz="6" w:val="single"/>
            </w:tcBorders>
            <w:shd w:fill="082a4a" w:val="clear"/>
            <w:tcMar>
              <w:top w:w="110.0" w:type="dxa"/>
              <w:left w:w="120.0" w:type="dxa"/>
              <w:bottom w:w="110.0" w:type="dxa"/>
              <w:right w:w="120.0" w:type="dxa"/>
            </w:tcMar>
            <w:vAlign w:val="center"/>
          </w:tcPr>
          <w:p w14:paraId="000000CD">
            <w:pPr>
              <w:spacing w:after="0" w:before="20" w:line="265" w:lineRule="auto"/>
              <w:rPr>
                <w:rFonts w:ascii="Helvetica Neue" w:cs="Helvetica Neue" w:eastAsia="Helvetica Neue" w:hAnsi="Helvetica Neue"/>
              </w:rPr>
            </w:pPr>
            <w:r>
              <w:rPr>
                <w:rFonts w:ascii="Helvetica Neue" w:cs="Helvetica Neue" w:eastAsia="Helvetica Neue" w:hAnsi="Helvetica Neue"/>
                <w:b w:val="1"/>
                <w:bCs w:val="1"/>
                <w:color w:val="ffffff"/>
                <w:rtl w:val="0"/>
              </w:rPr>
              <w:t>Wenn du wissen willst ...</w:t>
            </w:r>
          </w:p>
        </w:tc>
        <w:tc>
          <w:tcPr>
            <w:tcBorders>
              <w:top w:color="ffffff" w:space="0" w:sz="6" w:val="single"/>
              <w:left w:color="ffffff" w:space="0" w:sz="6" w:val="single"/>
              <w:bottom w:color="ffffff" w:space="0" w:sz="6" w:val="single"/>
              <w:right w:color="ffffff" w:space="0" w:sz="6" w:val="single"/>
            </w:tcBorders>
            <w:shd w:fill="082a4a" w:val="clear"/>
            <w:tcMar>
              <w:top w:w="110.0" w:type="dxa"/>
              <w:left w:w="120.0" w:type="dxa"/>
              <w:bottom w:w="110.0" w:type="dxa"/>
              <w:right w:w="120.0" w:type="dxa"/>
            </w:tcMar>
            <w:vAlign w:val="center"/>
          </w:tcPr>
          <w:p w14:paraId="000000CE">
            <w:pPr>
              <w:spacing w:after="0" w:before="20" w:line="265" w:lineRule="auto"/>
              <w:rPr>
                <w:rFonts w:ascii="Helvetica Neue" w:cs="Helvetica Neue" w:eastAsia="Helvetica Neue" w:hAnsi="Helvetica Neue"/>
              </w:rPr>
            </w:pPr>
            <w:r>
              <w:rPr>
                <w:rFonts w:ascii="Helvetica Neue" w:cs="Helvetica Neue" w:eastAsia="Helvetica Neue" w:hAnsi="Helvetica Neue"/>
                <w:b w:val="1"/>
                <w:bCs w:val="1"/>
                <w:color w:val="ffffff"/>
                <w:rtl w:val="0"/>
              </w:rPr>
              <w:t>Bevorzugtes Modell</w:t>
            </w:r>
          </w:p>
        </w:tc>
        <w:tc>
          <w:tcPr>
            <w:tcBorders>
              <w:top w:color="ffffff" w:space="0" w:sz="6" w:val="single"/>
              <w:left w:color="ffffff" w:space="0" w:sz="6" w:val="single"/>
              <w:bottom w:color="ffffff" w:space="0" w:sz="6" w:val="single"/>
              <w:right w:color="ffffff" w:space="0" w:sz="6" w:val="single"/>
            </w:tcBorders>
            <w:shd w:fill="082a4a" w:val="clear"/>
            <w:tcMar>
              <w:top w:w="110.0" w:type="dxa"/>
              <w:left w:w="120.0" w:type="dxa"/>
              <w:bottom w:w="110.0" w:type="dxa"/>
              <w:right w:w="120.0" w:type="dxa"/>
            </w:tcMar>
            <w:vAlign w:val="center"/>
          </w:tcPr>
          <w:p w14:paraId="000000CF">
            <w:pPr>
              <w:spacing w:after="0" w:before="20" w:line="265" w:lineRule="auto"/>
              <w:rPr>
                <w:rFonts w:ascii="Helvetica Neue" w:cs="Helvetica Neue" w:eastAsia="Helvetica Neue" w:hAnsi="Helvetica Neue"/>
              </w:rPr>
            </w:pPr>
            <w:r>
              <w:rPr>
                <w:rFonts w:ascii="Helvetica Neue" w:cs="Helvetica Neue" w:eastAsia="Helvetica Neue" w:hAnsi="Helvetica Neue"/>
                <w:b w:val="1"/>
                <w:bCs w:val="1"/>
                <w:color w:val="ffffff"/>
                <w:rtl w:val="0"/>
              </w:rPr>
              <w:t>Typische Verwechslung</w:t>
            </w:r>
          </w:p>
        </w:tc>
      </w:tr>
      <w:tr>
        <w:trPr>
          <w:cantSplit w:val="1"/>
          <w:tblHeader w:val="0"/>
        </w:trPr>
        <w:tc>
          <w:tcPr>
            <w:tcBorders>
              <w:top w:color="ffffff" w:space="0" w:sz="6" w:val="single"/>
              <w:left w:color="ffffff" w:space="0" w:sz="6" w:val="single"/>
              <w:bottom w:color="ffffff" w:space="0" w:sz="6" w:val="single"/>
              <w:right w:color="ffffff" w:space="0" w:sz="6" w:val="single"/>
            </w:tcBorders>
            <w:shd w:fill="e6f0f8" w:val="clear"/>
            <w:tcMar>
              <w:top w:w="110.0" w:type="dxa"/>
              <w:left w:w="120.0" w:type="dxa"/>
              <w:bottom w:w="110.0" w:type="dxa"/>
              <w:right w:w="120.0" w:type="dxa"/>
            </w:tcMar>
            <w:vAlign w:val="center"/>
          </w:tcPr>
          <w:p w14:paraId="000000D0">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welche betrieblichen Zustände und Tätigkeiten aufeinander folgen</w:t>
            </w:r>
          </w:p>
        </w:tc>
        <w:tc>
          <w:tcPr>
            <w:tcBorders>
              <w:top w:color="ffffff" w:space="0" w:sz="6" w:val="single"/>
              <w:left w:color="ffffff" w:space="0" w:sz="6" w:val="single"/>
              <w:bottom w:color="ffffff" w:space="0" w:sz="6" w:val="single"/>
              <w:right w:color="ffffff" w:space="0" w:sz="6" w:val="single"/>
            </w:tcBorders>
            <w:shd w:fill="ffffff" w:val="clear"/>
            <w:tcMar>
              <w:top w:w="110.0" w:type="dxa"/>
              <w:left w:w="120.0" w:type="dxa"/>
              <w:bottom w:w="110.0" w:type="dxa"/>
              <w:right w:w="120.0" w:type="dxa"/>
            </w:tcMar>
            <w:vAlign w:val="center"/>
          </w:tcPr>
          <w:p w14:paraId="000000D1">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EPK/eEPK</w:t>
            </w:r>
          </w:p>
        </w:tc>
        <w:tc>
          <w:tcPr>
            <w:tcBorders>
              <w:top w:color="ffffff" w:space="0" w:sz="6" w:val="single"/>
              <w:left w:color="ffffff" w:space="0" w:sz="6" w:val="single"/>
              <w:bottom w:color="ffffff" w:space="0" w:sz="6" w:val="single"/>
              <w:right w:color="ffffff" w:space="0" w:sz="6" w:val="single"/>
            </w:tcBorders>
            <w:shd w:fill="ffffff" w:val="clear"/>
            <w:tcMar>
              <w:top w:w="110.0" w:type="dxa"/>
              <w:left w:w="120.0" w:type="dxa"/>
              <w:bottom w:w="110.0" w:type="dxa"/>
              <w:right w:w="120.0" w:type="dxa"/>
            </w:tcMar>
            <w:vAlign w:val="center"/>
          </w:tcPr>
          <w:p w14:paraId="000000D2">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Organisation oder Daten als Kontrollfluss behandeln</w:t>
            </w:r>
          </w:p>
        </w:tc>
      </w:tr>
      <w:tr>
        <w:trPr>
          <w:cantSplit w:val="1"/>
          <w:tblHeader w:val="0"/>
        </w:trPr>
        <w:tc>
          <w:tcPr>
            <w:tcBorders>
              <w:top w:color="ffffff" w:space="0" w:sz="6" w:val="single"/>
              <w:left w:color="ffffff" w:space="0" w:sz="6" w:val="single"/>
              <w:bottom w:color="ffffff" w:space="0" w:sz="6" w:val="single"/>
              <w:right w:color="ffffff" w:space="0" w:sz="6" w:val="single"/>
            </w:tcBorders>
            <w:shd w:fill="e6f0f8" w:val="clear"/>
            <w:tcMar>
              <w:top w:w="110.0" w:type="dxa"/>
              <w:left w:w="120.0" w:type="dxa"/>
              <w:bottom w:w="110.0" w:type="dxa"/>
              <w:right w:w="120.0" w:type="dxa"/>
            </w:tcMar>
            <w:vAlign w:val="center"/>
          </w:tcPr>
          <w:p w14:paraId="000000D3">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wie ein standardisierter Prozess zwischen Beteiligten abläuft</w:t>
            </w:r>
          </w:p>
        </w:tc>
        <w:tc>
          <w:tcPr>
            <w:tcBorders>
              <w:top w:color="ffffff" w:space="0" w:sz="6" w:val="single"/>
              <w:left w:color="ffffff" w:space="0" w:sz="6" w:val="single"/>
              <w:bottom w:color="ffffff" w:space="0" w:sz="6" w:val="single"/>
              <w:right w:color="ffffff" w:space="0" w:sz="6" w:val="single"/>
            </w:tcBorders>
            <w:shd w:fill="f6f9fc" w:val="clear"/>
            <w:tcMar>
              <w:top w:w="110.0" w:type="dxa"/>
              <w:left w:w="120.0" w:type="dxa"/>
              <w:bottom w:w="110.0" w:type="dxa"/>
              <w:right w:w="120.0" w:type="dxa"/>
            </w:tcMar>
            <w:vAlign w:val="center"/>
          </w:tcPr>
          <w:p w14:paraId="000000D4">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BPMN</w:t>
            </w:r>
          </w:p>
        </w:tc>
        <w:tc>
          <w:tcPr>
            <w:tcBorders>
              <w:top w:color="ffffff" w:space="0" w:sz="6" w:val="single"/>
              <w:left w:color="ffffff" w:space="0" w:sz="6" w:val="single"/>
              <w:bottom w:color="ffffff" w:space="0" w:sz="6" w:val="single"/>
              <w:right w:color="ffffff" w:space="0" w:sz="6" w:val="single"/>
            </w:tcBorders>
            <w:shd w:fill="f6f9fc" w:val="clear"/>
            <w:tcMar>
              <w:top w:w="110.0" w:type="dxa"/>
              <w:left w:w="120.0" w:type="dxa"/>
              <w:bottom w:w="110.0" w:type="dxa"/>
              <w:right w:w="120.0" w:type="dxa"/>
            </w:tcMar>
            <w:vAlign w:val="center"/>
          </w:tcPr>
          <w:p w14:paraId="000000D5">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Nachrichten- und Sequenzfluss vermischen</w:t>
            </w:r>
          </w:p>
        </w:tc>
      </w:tr>
      <w:tr>
        <w:trPr>
          <w:cantSplit w:val="1"/>
          <w:tblHeader w:val="0"/>
        </w:trPr>
        <w:tc>
          <w:tcPr>
            <w:tcBorders>
              <w:top w:color="ffffff" w:space="0" w:sz="6" w:val="single"/>
              <w:left w:color="ffffff" w:space="0" w:sz="6" w:val="single"/>
              <w:bottom w:color="ffffff" w:space="0" w:sz="6" w:val="single"/>
              <w:right w:color="ffffff" w:space="0" w:sz="6" w:val="single"/>
            </w:tcBorders>
            <w:shd w:fill="e6f0f8" w:val="clear"/>
            <w:tcMar>
              <w:top w:w="110.0" w:type="dxa"/>
              <w:left w:w="120.0" w:type="dxa"/>
              <w:bottom w:w="110.0" w:type="dxa"/>
              <w:right w:w="120.0" w:type="dxa"/>
            </w:tcMar>
            <w:vAlign w:val="center"/>
          </w:tcPr>
          <w:p w14:paraId="000000D6">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ob Parallelität, Synchronisation oder Blockaden formal möglich sind</w:t>
            </w:r>
          </w:p>
        </w:tc>
        <w:tc>
          <w:tcPr>
            <w:tcBorders>
              <w:top w:color="ffffff" w:space="0" w:sz="6" w:val="single"/>
              <w:left w:color="ffffff" w:space="0" w:sz="6" w:val="single"/>
              <w:bottom w:color="ffffff" w:space="0" w:sz="6" w:val="single"/>
              <w:right w:color="ffffff" w:space="0" w:sz="6" w:val="single"/>
            </w:tcBorders>
            <w:shd w:fill="ffffff" w:val="clear"/>
            <w:tcMar>
              <w:top w:w="110.0" w:type="dxa"/>
              <w:left w:w="120.0" w:type="dxa"/>
              <w:bottom w:w="110.0" w:type="dxa"/>
              <w:right w:w="120.0" w:type="dxa"/>
            </w:tcMar>
            <w:vAlign w:val="center"/>
          </w:tcPr>
          <w:p w14:paraId="000000D7">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Petri-Netz</w:t>
            </w:r>
          </w:p>
        </w:tc>
        <w:tc>
          <w:tcPr>
            <w:tcBorders>
              <w:top w:color="ffffff" w:space="0" w:sz="6" w:val="single"/>
              <w:left w:color="ffffff" w:space="0" w:sz="6" w:val="single"/>
              <w:bottom w:color="ffffff" w:space="0" w:sz="6" w:val="single"/>
              <w:right w:color="ffffff" w:space="0" w:sz="6" w:val="single"/>
            </w:tcBorders>
            <w:shd w:fill="ffffff" w:val="clear"/>
            <w:tcMar>
              <w:top w:w="110.0" w:type="dxa"/>
              <w:left w:w="120.0" w:type="dxa"/>
              <w:bottom w:w="110.0" w:type="dxa"/>
              <w:right w:w="120.0" w:type="dxa"/>
            </w:tcMar>
            <w:vAlign w:val="center"/>
          </w:tcPr>
          <w:p w14:paraId="000000D8">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Marken nur als grafische Dekoration lesen</w:t>
            </w:r>
          </w:p>
        </w:tc>
      </w:tr>
      <w:tr>
        <w:trPr>
          <w:cantSplit w:val="1"/>
          <w:tblHeader w:val="0"/>
        </w:trPr>
        <w:tc>
          <w:tcPr>
            <w:tcBorders>
              <w:top w:color="ffffff" w:space="0" w:sz="6" w:val="single"/>
              <w:left w:color="ffffff" w:space="0" w:sz="6" w:val="single"/>
              <w:bottom w:color="ffffff" w:space="0" w:sz="6" w:val="single"/>
              <w:right w:color="ffffff" w:space="0" w:sz="6" w:val="single"/>
            </w:tcBorders>
            <w:shd w:fill="e6f0f8" w:val="clear"/>
            <w:tcMar>
              <w:top w:w="110.0" w:type="dxa"/>
              <w:left w:w="120.0" w:type="dxa"/>
              <w:bottom w:w="110.0" w:type="dxa"/>
              <w:right w:w="120.0" w:type="dxa"/>
            </w:tcMar>
            <w:vAlign w:val="center"/>
          </w:tcPr>
          <w:p w14:paraId="000000D9">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welche fachlichen Datenobjekte und Beziehungen bestehen</w:t>
            </w:r>
          </w:p>
        </w:tc>
        <w:tc>
          <w:tcPr>
            <w:tcBorders>
              <w:top w:color="ffffff" w:space="0" w:sz="6" w:val="single"/>
              <w:left w:color="ffffff" w:space="0" w:sz="6" w:val="single"/>
              <w:bottom w:color="ffffff" w:space="0" w:sz="6" w:val="single"/>
              <w:right w:color="ffffff" w:space="0" w:sz="6" w:val="single"/>
            </w:tcBorders>
            <w:shd w:fill="f6f9fc" w:val="clear"/>
            <w:tcMar>
              <w:top w:w="110.0" w:type="dxa"/>
              <w:left w:w="120.0" w:type="dxa"/>
              <w:bottom w:w="110.0" w:type="dxa"/>
              <w:right w:w="120.0" w:type="dxa"/>
            </w:tcMar>
            <w:vAlign w:val="center"/>
          </w:tcPr>
          <w:p w14:paraId="000000DA">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ERM</w:t>
            </w:r>
          </w:p>
        </w:tc>
        <w:tc>
          <w:tcPr>
            <w:tcBorders>
              <w:top w:color="ffffff" w:space="0" w:sz="6" w:val="single"/>
              <w:left w:color="ffffff" w:space="0" w:sz="6" w:val="single"/>
              <w:bottom w:color="ffffff" w:space="0" w:sz="6" w:val="single"/>
              <w:right w:color="ffffff" w:space="0" w:sz="6" w:val="single"/>
            </w:tcBorders>
            <w:shd w:fill="f6f9fc" w:val="clear"/>
            <w:tcMar>
              <w:top w:w="110.0" w:type="dxa"/>
              <w:left w:w="120.0" w:type="dxa"/>
              <w:bottom w:w="110.0" w:type="dxa"/>
              <w:right w:w="120.0" w:type="dxa"/>
            </w:tcMar>
            <w:vAlign w:val="center"/>
          </w:tcPr>
          <w:p w14:paraId="000000DB">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Prozessschritte als Entitäten modellieren</w:t>
            </w:r>
          </w:p>
        </w:tc>
      </w:tr>
      <w:tr>
        <w:trPr>
          <w:cantSplit w:val="1"/>
          <w:tblHeader w:val="0"/>
        </w:trPr>
        <w:tc>
          <w:tcPr>
            <w:tcBorders>
              <w:top w:color="ffffff" w:space="0" w:sz="6" w:val="single"/>
              <w:left w:color="ffffff" w:space="0" w:sz="6" w:val="single"/>
              <w:bottom w:color="ffffff" w:space="0" w:sz="6" w:val="single"/>
              <w:right w:color="ffffff" w:space="0" w:sz="6" w:val="single"/>
            </w:tcBorders>
            <w:shd w:fill="e6f0f8" w:val="clear"/>
            <w:tcMar>
              <w:top w:w="110.0" w:type="dxa"/>
              <w:left w:w="120.0" w:type="dxa"/>
              <w:bottom w:w="110.0" w:type="dxa"/>
              <w:right w:w="120.0" w:type="dxa"/>
            </w:tcMar>
            <w:vAlign w:val="center"/>
          </w:tcPr>
          <w:p w14:paraId="000000D0">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welche Ziele externe Rollen am System verfolgen</w:t>
            </w:r>
          </w:p>
        </w:tc>
        <w:tc>
          <w:tcPr>
            <w:tcBorders>
              <w:top w:color="ffffff" w:space="0" w:sz="6" w:val="single"/>
              <w:left w:color="ffffff" w:space="0" w:sz="6" w:val="single"/>
              <w:bottom w:color="ffffff" w:space="0" w:sz="6" w:val="single"/>
              <w:right w:color="ffffff" w:space="0" w:sz="6" w:val="single"/>
            </w:tcBorders>
            <w:shd w:fill="ffffff" w:val="clear"/>
            <w:tcMar>
              <w:top w:w="110.0" w:type="dxa"/>
              <w:left w:w="120.0" w:type="dxa"/>
              <w:bottom w:w="110.0" w:type="dxa"/>
              <w:right w:w="120.0" w:type="dxa"/>
            </w:tcMar>
            <w:vAlign w:val="center"/>
          </w:tcPr>
          <w:p w14:paraId="000000D1">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UML Use Case</w:t>
            </w:r>
          </w:p>
        </w:tc>
        <w:tc>
          <w:tcPr>
            <w:tcBorders>
              <w:top w:color="ffffff" w:space="0" w:sz="6" w:val="single"/>
              <w:left w:color="ffffff" w:space="0" w:sz="6" w:val="single"/>
              <w:bottom w:color="ffffff" w:space="0" w:sz="6" w:val="single"/>
              <w:right w:color="ffffff" w:space="0" w:sz="6" w:val="single"/>
            </w:tcBorders>
            <w:shd w:fill="ffffff" w:val="clear"/>
            <w:tcMar>
              <w:top w:w="110.0" w:type="dxa"/>
              <w:left w:w="120.0" w:type="dxa"/>
              <w:bottom w:w="110.0" w:type="dxa"/>
              <w:right w:w="120.0" w:type="dxa"/>
            </w:tcMar>
            <w:vAlign w:val="center"/>
          </w:tcPr>
          <w:p w14:paraId="000000D2">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Interne Einzelschritte statt Nutzerziele zeigen</w:t>
            </w:r>
          </w:p>
        </w:tc>
      </w:tr>
      <w:tr>
        <w:trPr>
          <w:cantSplit w:val="1"/>
          <w:tblHeader w:val="0"/>
        </w:trPr>
        <w:tc>
          <w:tcPr>
            <w:tcBorders>
              <w:top w:color="ffffff" w:space="0" w:sz="6" w:val="single"/>
              <w:left w:color="ffffff" w:space="0" w:sz="6" w:val="single"/>
              <w:bottom w:color="ffffff" w:space="0" w:sz="6" w:val="single"/>
              <w:right w:color="ffffff" w:space="0" w:sz="6" w:val="single"/>
            </w:tcBorders>
            <w:shd w:fill="e6f0f8" w:val="clear"/>
            <w:tcMar>
              <w:top w:w="110.0" w:type="dxa"/>
              <w:left w:w="120.0" w:type="dxa"/>
              <w:bottom w:w="110.0" w:type="dxa"/>
              <w:right w:w="120.0" w:type="dxa"/>
            </w:tcMar>
            <w:vAlign w:val="center"/>
          </w:tcPr>
          <w:p w14:paraId="000000D3">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wie Aktionen, Entscheidungen und parallele Pfade ablaufen</w:t>
            </w:r>
          </w:p>
        </w:tc>
        <w:tc>
          <w:tcPr>
            <w:tcBorders>
              <w:top w:color="ffffff" w:space="0" w:sz="6" w:val="single"/>
              <w:left w:color="ffffff" w:space="0" w:sz="6" w:val="single"/>
              <w:bottom w:color="ffffff" w:space="0" w:sz="6" w:val="single"/>
              <w:right w:color="ffffff" w:space="0" w:sz="6" w:val="single"/>
            </w:tcBorders>
            <w:shd w:fill="f6f9fc" w:val="clear"/>
            <w:tcMar>
              <w:top w:w="110.0" w:type="dxa"/>
              <w:left w:w="120.0" w:type="dxa"/>
              <w:bottom w:w="110.0" w:type="dxa"/>
              <w:right w:w="120.0" w:type="dxa"/>
            </w:tcMar>
            <w:vAlign w:val="center"/>
          </w:tcPr>
          <w:p w14:paraId="000000D4">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UML-Aktivitätsdiagramm</w:t>
            </w:r>
          </w:p>
        </w:tc>
        <w:tc>
          <w:tcPr>
            <w:tcBorders>
              <w:top w:color="ffffff" w:space="0" w:sz="6" w:val="single"/>
              <w:left w:color="ffffff" w:space="0" w:sz="6" w:val="single"/>
              <w:bottom w:color="ffffff" w:space="0" w:sz="6" w:val="single"/>
              <w:right w:color="ffffff" w:space="0" w:sz="6" w:val="single"/>
            </w:tcBorders>
            <w:shd w:fill="f6f9fc" w:val="clear"/>
            <w:tcMar>
              <w:top w:w="110.0" w:type="dxa"/>
              <w:left w:w="120.0" w:type="dxa"/>
              <w:bottom w:w="110.0" w:type="dxa"/>
              <w:right w:w="120.0" w:type="dxa"/>
            </w:tcMar>
            <w:vAlign w:val="center"/>
          </w:tcPr>
          <w:p w14:paraId="000000D5">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EPK-Ereignisse und UML-Knoten mischen</w:t>
            </w:r>
          </w:p>
        </w:tc>
      </w:tr>
      <w:tr>
        <w:trPr>
          <w:cantSplit w:val="1"/>
          <w:tblHeader w:val="0"/>
        </w:trPr>
        <w:tc>
          <w:tcPr>
            <w:tcBorders>
              <w:top w:color="ffffff" w:space="0" w:sz="6" w:val="single"/>
              <w:left w:color="ffffff" w:space="0" w:sz="6" w:val="single"/>
              <w:bottom w:color="ffffff" w:space="0" w:sz="6" w:val="single"/>
              <w:right w:color="ffffff" w:space="0" w:sz="6" w:val="single"/>
            </w:tcBorders>
            <w:shd w:fill="e6f0f8" w:val="clear"/>
            <w:tcMar>
              <w:top w:w="110.0" w:type="dxa"/>
              <w:left w:w="120.0" w:type="dxa"/>
              <w:bottom w:w="110.0" w:type="dxa"/>
              <w:right w:w="120.0" w:type="dxa"/>
            </w:tcMar>
            <w:vAlign w:val="center"/>
          </w:tcPr>
          <w:p w14:paraId="000000D6">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wie die statische Software-/Domänenstruktur aussieht</w:t>
            </w:r>
          </w:p>
        </w:tc>
        <w:tc>
          <w:tcPr>
            <w:tcBorders>
              <w:top w:color="ffffff" w:space="0" w:sz="6" w:val="single"/>
              <w:left w:color="ffffff" w:space="0" w:sz="6" w:val="single"/>
              <w:bottom w:color="ffffff" w:space="0" w:sz="6" w:val="single"/>
              <w:right w:color="ffffff" w:space="0" w:sz="6" w:val="single"/>
            </w:tcBorders>
            <w:shd w:fill="ffffff" w:val="clear"/>
            <w:tcMar>
              <w:top w:w="110.0" w:type="dxa"/>
              <w:left w:w="120.0" w:type="dxa"/>
              <w:bottom w:w="110.0" w:type="dxa"/>
              <w:right w:w="120.0" w:type="dxa"/>
            </w:tcMar>
            <w:vAlign w:val="center"/>
          </w:tcPr>
          <w:p w14:paraId="000000D7">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UML-Klassendiagramm</w:t>
            </w:r>
          </w:p>
        </w:tc>
        <w:tc>
          <w:tcPr>
            <w:tcBorders>
              <w:top w:color="ffffff" w:space="0" w:sz="6" w:val="single"/>
              <w:left w:color="ffffff" w:space="0" w:sz="6" w:val="single"/>
              <w:bottom w:color="ffffff" w:space="0" w:sz="6" w:val="single"/>
              <w:right w:color="ffffff" w:space="0" w:sz="6" w:val="single"/>
            </w:tcBorders>
            <w:shd w:fill="ffffff" w:val="clear"/>
            <w:tcMar>
              <w:top w:w="110.0" w:type="dxa"/>
              <w:left w:w="120.0" w:type="dxa"/>
              <w:bottom w:w="110.0" w:type="dxa"/>
              <w:right w:w="120.0" w:type="dxa"/>
            </w:tcMar>
            <w:vAlign w:val="center"/>
          </w:tcPr>
          <w:p w14:paraId="000000D8">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ERM-Kardinalität ungeprüft als UML-Multiplizität übernehmen</w:t>
            </w:r>
          </w:p>
        </w:tc>
      </w:tr>
      <w:tr>
        <w:trPr>
          <w:cantSplit w:val="1"/>
          <w:tblHeader w:val="0"/>
        </w:trPr>
        <w:tc>
          <w:tcPr>
            <w:tcBorders>
              <w:top w:color="ffffff" w:space="0" w:sz="6" w:val="single"/>
              <w:left w:color="ffffff" w:space="0" w:sz="6" w:val="single"/>
              <w:bottom w:color="ffffff" w:space="0" w:sz="6" w:val="single"/>
              <w:right w:color="ffffff" w:space="0" w:sz="6" w:val="single"/>
            </w:tcBorders>
            <w:shd w:fill="e6f0f8" w:val="clear"/>
            <w:tcMar>
              <w:top w:w="110.0" w:type="dxa"/>
              <w:left w:w="120.0" w:type="dxa"/>
              <w:bottom w:w="110.0" w:type="dxa"/>
              <w:right w:w="120.0" w:type="dxa"/>
            </w:tcMar>
            <w:vAlign w:val="center"/>
          </w:tcPr>
          <w:p w14:paraId="000000D9">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welche Objekte in welcher Reihenfolge Nachrichten austauschen</w:t>
            </w:r>
          </w:p>
        </w:tc>
        <w:tc>
          <w:tcPr>
            <w:tcBorders>
              <w:top w:color="ffffff" w:space="0" w:sz="6" w:val="single"/>
              <w:left w:color="ffffff" w:space="0" w:sz="6" w:val="single"/>
              <w:bottom w:color="ffffff" w:space="0" w:sz="6" w:val="single"/>
              <w:right w:color="ffffff" w:space="0" w:sz="6" w:val="single"/>
            </w:tcBorders>
            <w:shd w:fill="f6f9fc" w:val="clear"/>
            <w:tcMar>
              <w:top w:w="110.0" w:type="dxa"/>
              <w:left w:w="120.0" w:type="dxa"/>
              <w:bottom w:w="110.0" w:type="dxa"/>
              <w:right w:w="120.0" w:type="dxa"/>
            </w:tcMar>
            <w:vAlign w:val="center"/>
          </w:tcPr>
          <w:p w14:paraId="000000DA">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UML-Sequenzdiagramm</w:t>
            </w:r>
          </w:p>
        </w:tc>
        <w:tc>
          <w:tcPr>
            <w:tcBorders>
              <w:top w:color="ffffff" w:space="0" w:sz="6" w:val="single"/>
              <w:left w:color="ffffff" w:space="0" w:sz="6" w:val="single"/>
              <w:bottom w:color="ffffff" w:space="0" w:sz="6" w:val="single"/>
              <w:right w:color="ffffff" w:space="0" w:sz="6" w:val="single"/>
            </w:tcBorders>
            <w:shd w:fill="f6f9fc" w:val="clear"/>
            <w:tcMar>
              <w:top w:w="110.0" w:type="dxa"/>
              <w:left w:w="120.0" w:type="dxa"/>
              <w:bottom w:w="110.0" w:type="dxa"/>
              <w:right w:w="120.0" w:type="dxa"/>
            </w:tcMar>
            <w:vAlign w:val="center"/>
          </w:tcPr>
          <w:p w14:paraId="000000DB">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Den gesamten Prozess statt eines konkreten Szenarios zeigen</w:t>
            </w:r>
          </w:p>
        </w:tc>
      </w:tr>
    </w:tbl>
    <w:p>
      <w:pPr>
        <w:spacing w:after="60"/>
      </w:pPr>
    </w:p>
    <w:p>
      <w:pPr>
        <w:keepLines w:val="0"/>
        <w:spacing w:before="0" w:after="110" w:line="300" w:lineRule="auto"/>
        <w:jc w:val="both"/>
      </w:pPr>
      <w:r>
        <w:rPr>
          <w:rFonts w:ascii="Helvetica Neue" w:hAnsi="Helvetica Neue"/>
          <w:b/>
          <w:color w:val="082A4A"/>
          <w:sz w:val="21"/>
        </w:rPr>
        <w:t xml:space="preserve">Empfohlene Integrationsfolge: </w:t>
      </w:r>
      <w:r>
        <w:rPr>
          <w:rFonts w:ascii="Helvetica Neue" w:hAnsi="Helvetica Neue"/>
          <w:color w:val="233447"/>
          <w:sz w:val="21"/>
        </w:rPr>
        <w:t>Use Case klärt Akteure und Ziele; EPK/BPMN/Aktivität beschreibt den Ablauf; ERM/Klasse ordnet Daten und Struktur; Sequenz zeigt eine konkrete Interaktion; ein Petri-Netz vertieft Parallelität und Synchronisation. Die Begriffe müssen über alle Modelle hinweg gleich verwendet werden.</w:t>
      </w:r>
    </w:p>
    <w:p>
      <w:pPr>
        <w:pStyle w:val="Heading1"/>
        <w:keepNext/>
        <w:pageBreakBefore w:val="0"/>
      </w:pPr>
      <w:r>
        <w:rPr>
          <w:rFonts w:ascii="Helvetica Neue" w:hAnsi="Helvetica Neue"/>
          <w:color w:val="082A4A"/>
        </w:rPr>
        <w:t>11.  Offene Fragen und Ereignisradar</w:t>
      </w:r>
    </w:p>
    <w:p>
      <w:pPr>
        <w:keepLines w:val="0"/>
        <w:spacing w:before="0" w:after="110" w:line="300" w:lineRule="auto"/>
        <w:jc w:val="both"/>
      </w:pPr>
      <w:r>
        <w:rPr>
          <w:rFonts w:ascii="Helvetica Neue" w:hAnsi="Helvetica Neue"/>
          <w:color w:val="233447"/>
          <w:sz w:val="21"/>
        </w:rPr>
        <w:t>Diese Punkte beeinflussen die Prüfungsstrategie. Sie sind nicht mit Schätzungen zu schließen, sondern bei Lehrendem bzw. Kursorganisation zu bestätigen.</w:t>
      </w:r>
    </w:p>
    <w:tbl>
      <w:tblPr>
        <w:tblStyle w:val="Table4"/>
        <w:tblW w:w="10440.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00"/>
      </w:tblPr>
      <w:tblGrid>
        <w:gridCol w:w="2268"/>
        <w:gridCol w:w="3164"/>
        <w:gridCol w:w="2374"/>
        <w:gridCol w:w="2634"/>
        <w:tblGridChange w:id="0">
          <w:tblGrid>
            <w:gridCol w:w="2268"/>
            <w:gridCol w:w="3164"/>
            <w:gridCol w:w="2374"/>
            <w:gridCol w:w="2634"/>
          </w:tblGrid>
        </w:tblGridChange>
      </w:tblGrid>
      <w:tr>
        <w:trPr>
          <w:cantSplit w:val="1"/>
          <w:tblHeader w:val="1"/>
        </w:trPr>
        <w:tc>
          <w:tcPr>
            <w:tcBorders>
              <w:top w:color="ffffff" w:space="0" w:sz="6" w:val="single"/>
              <w:left w:color="ffffff" w:space="0" w:sz="6" w:val="single"/>
              <w:bottom w:color="ffffff" w:space="0" w:sz="6" w:val="single"/>
              <w:right w:color="ffffff" w:space="0" w:sz="6" w:val="single"/>
            </w:tcBorders>
            <w:shd w:fill="082a4a" w:val="clear"/>
            <w:tcMar>
              <w:top w:w="110.0" w:type="dxa"/>
              <w:left w:w="120.0" w:type="dxa"/>
              <w:bottom w:w="110.0" w:type="dxa"/>
              <w:right w:w="120.0" w:type="dxa"/>
            </w:tcMar>
            <w:vAlign w:val="center"/>
          </w:tcPr>
          <w:p w14:paraId="00000040">
            <w:pPr>
              <w:spacing w:after="0" w:before="20" w:line="265" w:lineRule="auto"/>
              <w:rPr>
                <w:rFonts w:ascii="Helvetica Neue" w:cs="Helvetica Neue" w:eastAsia="Helvetica Neue" w:hAnsi="Helvetica Neue"/>
              </w:rPr>
            </w:pPr>
            <w:r>
              <w:rPr>
                <w:rFonts w:ascii="Helvetica Neue" w:cs="Helvetica Neue" w:eastAsia="Helvetica Neue" w:hAnsi="Helvetica Neue"/>
                <w:b w:val="1"/>
                <w:bCs w:val="1"/>
                <w:color w:val="ffffff"/>
                <w:rtl w:val="0"/>
              </w:rPr>
              <w:t>Priorität</w:t>
            </w:r>
          </w:p>
        </w:tc>
        <w:tc>
          <w:tcPr>
            <w:tcBorders>
              <w:top w:color="ffffff" w:space="0" w:sz="6" w:val="single"/>
              <w:left w:color="ffffff" w:space="0" w:sz="6" w:val="single"/>
              <w:bottom w:color="ffffff" w:space="0" w:sz="6" w:val="single"/>
              <w:right w:color="ffffff" w:space="0" w:sz="6" w:val="single"/>
            </w:tcBorders>
            <w:shd w:fill="082a4a" w:val="clear"/>
            <w:tcMar>
              <w:top w:w="110.0" w:type="dxa"/>
              <w:left w:w="120.0" w:type="dxa"/>
              <w:bottom w:w="110.0" w:type="dxa"/>
              <w:right w:w="120.0" w:type="dxa"/>
            </w:tcMar>
            <w:vAlign w:val="center"/>
          </w:tcPr>
          <w:p w14:paraId="00000041">
            <w:pPr>
              <w:spacing w:after="0" w:before="20" w:line="265" w:lineRule="auto"/>
              <w:rPr>
                <w:rFonts w:ascii="Helvetica Neue" w:cs="Helvetica Neue" w:eastAsia="Helvetica Neue" w:hAnsi="Helvetica Neue"/>
              </w:rPr>
            </w:pPr>
            <w:r>
              <w:rPr>
                <w:rFonts w:ascii="Helvetica Neue" w:cs="Helvetica Neue" w:eastAsia="Helvetica Neue" w:hAnsi="Helvetica Neue"/>
                <w:b w:val="1"/>
                <w:bCs w:val="1"/>
                <w:color w:val="ffffff"/>
                <w:rtl w:val="0"/>
              </w:rPr>
              <w:t>Offener Punkt</w:t>
            </w:r>
          </w:p>
        </w:tc>
        <w:tc>
          <w:tcPr>
            <w:tcBorders>
              <w:top w:color="ffffff" w:space="0" w:sz="6" w:val="single"/>
              <w:left w:color="ffffff" w:space="0" w:sz="6" w:val="single"/>
              <w:bottom w:color="ffffff" w:space="0" w:sz="6" w:val="single"/>
              <w:right w:color="ffffff" w:space="0" w:sz="6" w:val="single"/>
            </w:tcBorders>
            <w:shd w:fill="082a4a" w:val="clear"/>
            <w:tcMar>
              <w:top w:w="110.0" w:type="dxa"/>
              <w:left w:w="120.0" w:type="dxa"/>
              <w:bottom w:w="110.0" w:type="dxa"/>
              <w:right w:w="120.0" w:type="dxa"/>
            </w:tcMar>
            <w:vAlign w:val="center"/>
          </w:tcPr>
          <w:p w14:paraId="00000042">
            <w:pPr>
              <w:spacing w:after="0" w:before="20" w:line="265" w:lineRule="auto"/>
              <w:rPr>
                <w:rFonts w:ascii="Helvetica Neue" w:cs="Helvetica Neue" w:eastAsia="Helvetica Neue" w:hAnsi="Helvetica Neue"/>
              </w:rPr>
            </w:pPr>
            <w:r>
              <w:rPr>
                <w:rFonts w:ascii="Helvetica Neue" w:cs="Helvetica Neue" w:eastAsia="Helvetica Neue" w:hAnsi="Helvetica Neue"/>
                <w:b w:val="1"/>
                <w:bCs w:val="1"/>
                <w:color w:val="ffffff"/>
                <w:rtl w:val="0"/>
              </w:rPr>
              <w:t>Aktueller Beleg</w:t>
            </w:r>
          </w:p>
        </w:tc>
        <w:tc>
          <w:tcPr>
            <w:tcBorders>
              <w:top w:color="ffffff" w:space="0" w:sz="6" w:val="single"/>
              <w:left w:color="ffffff" w:space="0" w:sz="6" w:val="single"/>
              <w:bottom w:color="ffffff" w:space="0" w:sz="6" w:val="single"/>
              <w:right w:color="ffffff" w:space="0" w:sz="6" w:val="single"/>
            </w:tcBorders>
            <w:shd w:fill="082a4a" w:val="clear"/>
            <w:tcMar>
              <w:top w:w="110.0" w:type="dxa"/>
              <w:left w:w="120.0" w:type="dxa"/>
              <w:bottom w:w="110.0" w:type="dxa"/>
              <w:right w:w="120.0" w:type="dxa"/>
            </w:tcMar>
            <w:vAlign w:val="center"/>
          </w:tcPr>
          <w:p w14:paraId="00000043">
            <w:pPr>
              <w:spacing w:after="0" w:before="20" w:line="265" w:lineRule="auto"/>
              <w:rPr>
                <w:rFonts w:ascii="Helvetica Neue" w:cs="Helvetica Neue" w:eastAsia="Helvetica Neue" w:hAnsi="Helvetica Neue"/>
              </w:rPr>
            </w:pPr>
            <w:r>
              <w:rPr>
                <w:rFonts w:ascii="Helvetica Neue" w:cs="Helvetica Neue" w:eastAsia="Helvetica Neue" w:hAnsi="Helvetica Neue"/>
                <w:b w:val="1"/>
                <w:bCs w:val="1"/>
                <w:color w:val="ffffff"/>
                <w:rtl w:val="0"/>
              </w:rPr>
              <w:t>Konkrete Aktion</w:t>
            </w:r>
          </w:p>
        </w:tc>
      </w:tr>
      <w:tr>
        <w:trPr>
          <w:cantSplit w:val="1"/>
          <w:tblHeader w:val="0"/>
        </w:trPr>
        <w:tc>
          <w:tcPr>
            <w:tcBorders>
              <w:top w:color="ffffff" w:space="0" w:sz="6" w:val="single"/>
              <w:left w:color="ffffff" w:space="0" w:sz="6" w:val="single"/>
              <w:bottom w:color="ffffff" w:space="0" w:sz="6" w:val="single"/>
              <w:right w:color="ffffff" w:space="0" w:sz="6" w:val="single"/>
            </w:tcBorders>
            <w:shd w:fill="e6f0f8" w:val="clear"/>
            <w:tcMar>
              <w:top w:w="110.0" w:type="dxa"/>
              <w:left w:w="120.0" w:type="dxa"/>
              <w:bottom w:w="110.0" w:type="dxa"/>
              <w:right w:w="120.0" w:type="dxa"/>
            </w:tcMar>
            <w:vAlign w:val="center"/>
          </w:tcPr>
          <w:p w14:paraId="00000044">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Sofort</w:t>
            </w:r>
          </w:p>
        </w:tc>
        <w:tc>
          <w:tcPr>
            <w:tcBorders>
              <w:top w:color="ffffff" w:space="0" w:sz="6" w:val="single"/>
              <w:left w:color="ffffff" w:space="0" w:sz="6" w:val="single"/>
              <w:bottom w:color="ffffff" w:space="0" w:sz="6" w:val="single"/>
              <w:right w:color="ffffff" w:space="0" w:sz="6" w:val="single"/>
            </w:tcBorders>
            <w:shd w:fill="ffffff" w:val="clear"/>
            <w:tcMar>
              <w:top w:w="110.0" w:type="dxa"/>
              <w:left w:w="120.0" w:type="dxa"/>
              <w:bottom w:w="110.0" w:type="dxa"/>
              <w:right w:w="120.0" w:type="dxa"/>
            </w:tcMar>
            <w:vAlign w:val="center"/>
          </w:tcPr>
          <w:p w14:paraId="00000045">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Gilt der Zeitplan BI-1 oder BI-2 für Felix?</w:t>
            </w:r>
          </w:p>
        </w:tc>
        <w:tc>
          <w:tcPr>
            <w:tcBorders>
              <w:top w:color="ffffff" w:space="0" w:sz="6" w:val="single"/>
              <w:left w:color="ffffff" w:space="0" w:sz="6" w:val="single"/>
              <w:bottom w:color="ffffff" w:space="0" w:sz="6" w:val="single"/>
              <w:right w:color="ffffff" w:space="0" w:sz="6" w:val="single"/>
            </w:tcBorders>
            <w:shd w:fill="ffffff" w:val="clear"/>
            <w:tcMar>
              <w:top w:w="110.0" w:type="dxa"/>
              <w:left w:w="120.0" w:type="dxa"/>
              <w:bottom w:w="110.0" w:type="dxa"/>
              <w:right w:w="120.0" w:type="dxa"/>
            </w:tcMar>
            <w:vAlign w:val="center"/>
          </w:tcPr>
          <w:p w14:paraId="00000046">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Dateiname BI-2, Blatt/Überschrift BI-1.</w:t>
            </w:r>
          </w:p>
        </w:tc>
        <w:tc>
          <w:tcPr>
            <w:tcBorders>
              <w:top w:color="ffffff" w:space="0" w:sz="6" w:val="single"/>
              <w:left w:color="ffffff" w:space="0" w:sz="6" w:val="single"/>
              <w:bottom w:color="ffffff" w:space="0" w:sz="6" w:val="single"/>
              <w:right w:color="ffffff" w:space="0" w:sz="6" w:val="single"/>
            </w:tcBorders>
            <w:shd w:fill="ffffff" w:val="clear"/>
            <w:tcMar>
              <w:top w:w="110.0" w:type="dxa"/>
              <w:left w:w="120.0" w:type="dxa"/>
              <w:bottom w:w="110.0" w:type="dxa"/>
              <w:right w:w="120.0" w:type="dxa"/>
            </w:tcMar>
            <w:vAlign w:val="center"/>
          </w:tcPr>
          <w:p w14:paraId="00000047">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Am 29.07.2026 Kurszuordnung bestätigen.</w:t>
            </w:r>
          </w:p>
        </w:tc>
      </w:tr>
      <w:tr>
        <w:trPr>
          <w:cantSplit w:val="1"/>
          <w:tblHeader w:val="0"/>
        </w:trPr>
        <w:tc>
          <w:tcPr>
            <w:tcBorders>
              <w:top w:color="ffffff" w:space="0" w:sz="6" w:val="single"/>
              <w:left w:color="ffffff" w:space="0" w:sz="6" w:val="single"/>
              <w:bottom w:color="ffffff" w:space="0" w:sz="6" w:val="single"/>
              <w:right w:color="ffffff" w:space="0" w:sz="6" w:val="single"/>
            </w:tcBorders>
            <w:shd w:fill="e6f0f8" w:val="clear"/>
            <w:tcMar>
              <w:top w:w="110.0" w:type="dxa"/>
              <w:left w:w="120.0" w:type="dxa"/>
              <w:bottom w:w="110.0" w:type="dxa"/>
              <w:right w:w="120.0" w:type="dxa"/>
            </w:tcMar>
            <w:vAlign w:val="center"/>
          </w:tcPr>
          <w:p w14:paraId="00000048">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Sofort</w:t>
            </w:r>
          </w:p>
        </w:tc>
        <w:tc>
          <w:tcPr>
            <w:tcBorders>
              <w:top w:color="ffffff" w:space="0" w:sz="6" w:val="single"/>
              <w:left w:color="ffffff" w:space="0" w:sz="6" w:val="single"/>
              <w:bottom w:color="ffffff" w:space="0" w:sz="6" w:val="single"/>
              <w:right w:color="ffffff" w:space="0" w:sz="6" w:val="single"/>
            </w:tcBorders>
            <w:shd w:fill="f6f9fc" w:val="clear"/>
            <w:tcMar>
              <w:top w:w="110.0" w:type="dxa"/>
              <w:left w:w="120.0" w:type="dxa"/>
              <w:bottom w:w="110.0" w:type="dxa"/>
              <w:right w:w="120.0" w:type="dxa"/>
            </w:tcMar>
            <w:vAlign w:val="center"/>
          </w:tcPr>
          <w:p w14:paraId="00000049">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Welche Gruppe und welches Thema hat Felix?</w:t>
            </w:r>
          </w:p>
        </w:tc>
        <w:tc>
          <w:tcPr>
            <w:tcBorders>
              <w:top w:color="ffffff" w:space="0" w:sz="6" w:val="single"/>
              <w:left w:color="ffffff" w:space="0" w:sz="6" w:val="single"/>
              <w:bottom w:color="ffffff" w:space="0" w:sz="6" w:val="single"/>
              <w:right w:color="ffffff" w:space="0" w:sz="6" w:val="single"/>
            </w:tcBorders>
            <w:shd w:fill="f6f9fc" w:val="clear"/>
            <w:tcMar>
              <w:top w:w="110.0" w:type="dxa"/>
              <w:left w:w="120.0" w:type="dxa"/>
              <w:bottom w:w="110.0" w:type="dxa"/>
              <w:right w:w="120.0" w:type="dxa"/>
            </w:tcMar>
            <w:vAlign w:val="center"/>
          </w:tcPr>
          <w:p w14:paraId="0000004A">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Themenverteilung weist Felix nicht erkennbar zu.</w:t>
            </w:r>
          </w:p>
        </w:tc>
        <w:tc>
          <w:tcPr>
            <w:tcBorders>
              <w:top w:color="ffffff" w:space="0" w:sz="6" w:val="single"/>
              <w:left w:color="ffffff" w:space="0" w:sz="6" w:val="single"/>
              <w:bottom w:color="ffffff" w:space="0" w:sz="6" w:val="single"/>
              <w:right w:color="ffffff" w:space="0" w:sz="6" w:val="single"/>
            </w:tcBorders>
            <w:shd w:fill="f6f9fc" w:val="clear"/>
            <w:tcMar>
              <w:top w:w="110.0" w:type="dxa"/>
              <w:left w:w="120.0" w:type="dxa"/>
              <w:bottom w:w="110.0" w:type="dxa"/>
              <w:right w:w="120.0" w:type="dxa"/>
            </w:tcMar>
            <w:vAlign w:val="center"/>
          </w:tcPr>
          <w:p w14:paraId="0000004B">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Gruppenliste und verantwortliches Thema sichern.</w:t>
            </w:r>
          </w:p>
        </w:tc>
      </w:tr>
      <w:tr>
        <w:trPr>
          <w:cantSplit w:val="1"/>
          <w:tblHeader w:val="0"/>
        </w:trPr>
        <w:tc>
          <w:tcPr>
            <w:tcBorders>
              <w:top w:color="ffffff" w:space="0" w:sz="6" w:val="single"/>
              <w:left w:color="ffffff" w:space="0" w:sz="6" w:val="single"/>
              <w:bottom w:color="ffffff" w:space="0" w:sz="6" w:val="single"/>
              <w:right w:color="ffffff" w:space="0" w:sz="6" w:val="single"/>
            </w:tcBorders>
            <w:shd w:fill="e6f0f8" w:val="clear"/>
            <w:tcMar>
              <w:top w:w="110.0" w:type="dxa"/>
              <w:left w:w="120.0" w:type="dxa"/>
              <w:bottom w:w="110.0" w:type="dxa"/>
              <w:right w:w="120.0" w:type="dxa"/>
            </w:tcMar>
            <w:vAlign w:val="center"/>
          </w:tcPr>
          <w:p w14:paraId="0000004C">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Hoch</w:t>
            </w:r>
          </w:p>
        </w:tc>
        <w:tc>
          <w:tcPr>
            <w:tcBorders>
              <w:top w:color="ffffff" w:space="0" w:sz="6" w:val="single"/>
              <w:left w:color="ffffff" w:space="0" w:sz="6" w:val="single"/>
              <w:bottom w:color="ffffff" w:space="0" w:sz="6" w:val="single"/>
              <w:right w:color="ffffff" w:space="0" w:sz="6" w:val="single"/>
            </w:tcBorders>
            <w:shd w:fill="ffffff" w:val="clear"/>
            <w:tcMar>
              <w:top w:w="110.0" w:type="dxa"/>
              <w:left w:w="120.0" w:type="dxa"/>
              <w:bottom w:w="110.0" w:type="dxa"/>
              <w:right w:w="120.0" w:type="dxa"/>
            </w:tcMar>
            <w:vAlign w:val="center"/>
          </w:tcPr>
          <w:p w14:paraId="0000004D">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Wie wird die Übungsaufgabe konkret bewertet?</w:t>
            </w:r>
          </w:p>
        </w:tc>
        <w:tc>
          <w:tcPr>
            <w:tcBorders>
              <w:top w:color="ffffff" w:space="0" w:sz="6" w:val="single"/>
              <w:left w:color="ffffff" w:space="0" w:sz="6" w:val="single"/>
              <w:bottom w:color="ffffff" w:space="0" w:sz="6" w:val="single"/>
              <w:right w:color="ffffff" w:space="0" w:sz="6" w:val="single"/>
            </w:tcBorders>
            <w:shd w:fill="ffffff" w:val="clear"/>
            <w:tcMar>
              <w:top w:w="110.0" w:type="dxa"/>
              <w:left w:w="120.0" w:type="dxa"/>
              <w:bottom w:w="110.0" w:type="dxa"/>
              <w:right w:w="120.0" w:type="dxa"/>
            </w:tcMar>
            <w:vAlign w:val="center"/>
          </w:tcPr>
          <w:p w14:paraId="0000004E">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Kursinfo 04.08.: Übungsaufgabe = 100 %; Konzept belegt Musterlösung und Betreuung.</w:t>
            </w:r>
          </w:p>
        </w:tc>
        <w:tc>
          <w:tcPr>
            <w:tcBorders>
              <w:top w:color="ffffff" w:space="0" w:sz="6" w:val="single"/>
              <w:left w:color="ffffff" w:space="0" w:sz="6" w:val="single"/>
              <w:bottom w:color="ffffff" w:space="0" w:sz="6" w:val="single"/>
              <w:right w:color="ffffff" w:space="0" w:sz="6" w:val="single"/>
            </w:tcBorders>
            <w:shd w:fill="ffffff" w:val="clear"/>
            <w:tcMar>
              <w:top w:w="110.0" w:type="dxa"/>
              <w:left w:w="120.0" w:type="dxa"/>
              <w:bottom w:w="110.0" w:type="dxa"/>
              <w:right w:w="120.0" w:type="dxa"/>
            </w:tcMar>
            <w:vAlign w:val="center"/>
          </w:tcPr>
          <w:p w14:paraId="0000004F">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Rubrik, Umfang, Format und Individualanteil klären.</w:t>
            </w:r>
          </w:p>
        </w:tc>
      </w:tr>
      <w:tr>
        <w:trPr>
          <w:cantSplit w:val="1"/>
          <w:tblHeader w:val="0"/>
        </w:trPr>
        <w:tc>
          <w:tcPr>
            <w:tcBorders>
              <w:top w:color="ffffff" w:space="0" w:sz="6" w:val="single"/>
              <w:left w:color="ffffff" w:space="0" w:sz="6" w:val="single"/>
              <w:bottom w:color="ffffff" w:space="0" w:sz="6" w:val="single"/>
              <w:right w:color="ffffff" w:space="0" w:sz="6" w:val="single"/>
            </w:tcBorders>
            <w:shd w:fill="e6f0f8" w:val="clear"/>
            <w:tcMar>
              <w:top w:w="110.0" w:type="dxa"/>
              <w:left w:w="120.0" w:type="dxa"/>
              <w:bottom w:w="110.0" w:type="dxa"/>
              <w:right w:w="120.0" w:type="dxa"/>
            </w:tcMar>
            <w:vAlign w:val="center"/>
          </w:tcPr>
          <w:p w14:paraId="00000050">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Hoch</w:t>
            </w:r>
          </w:p>
        </w:tc>
        <w:tc>
          <w:tcPr>
            <w:tcBorders>
              <w:top w:color="ffffff" w:space="0" w:sz="6" w:val="single"/>
              <w:left w:color="ffffff" w:space="0" w:sz="6" w:val="single"/>
              <w:bottom w:color="ffffff" w:space="0" w:sz="6" w:val="single"/>
              <w:right w:color="ffffff" w:space="0" w:sz="6" w:val="single"/>
            </w:tcBorders>
            <w:shd w:fill="f6f9fc" w:val="clear"/>
            <w:tcMar>
              <w:top w:w="110.0" w:type="dxa"/>
              <w:left w:w="120.0" w:type="dxa"/>
              <w:bottom w:w="110.0" w:type="dxa"/>
              <w:right w:w="120.0" w:type="dxa"/>
            </w:tcMar>
            <w:vAlign w:val="center"/>
          </w:tcPr>
          <w:p w14:paraId="00000051">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Welche Übungsdauer gilt?</w:t>
            </w:r>
          </w:p>
        </w:tc>
        <w:tc>
          <w:tcPr>
            <w:tcBorders>
              <w:top w:color="ffffff" w:space="0" w:sz="6" w:val="single"/>
              <w:left w:color="ffffff" w:space="0" w:sz="6" w:val="single"/>
              <w:bottom w:color="ffffff" w:space="0" w:sz="6" w:val="single"/>
              <w:right w:color="ffffff" w:space="0" w:sz="6" w:val="single"/>
            </w:tcBorders>
            <w:shd w:fill="f6f9fc" w:val="clear"/>
            <w:tcMar>
              <w:top w:w="110.0" w:type="dxa"/>
              <w:left w:w="120.0" w:type="dxa"/>
              <w:bottom w:w="110.0" w:type="dxa"/>
              <w:right w:w="120.0" w:type="dxa"/>
            </w:tcMar>
            <w:vAlign w:val="center"/>
          </w:tcPr>
          <w:p w14:paraId="00000052">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Konzept ca. 3 x 30 Min.; Zeitplan 2 x 45 Min.</w:t>
            </w:r>
          </w:p>
        </w:tc>
        <w:tc>
          <w:tcPr>
            <w:tcBorders>
              <w:top w:color="ffffff" w:space="0" w:sz="6" w:val="single"/>
              <w:left w:color="ffffff" w:space="0" w:sz="6" w:val="single"/>
              <w:bottom w:color="ffffff" w:space="0" w:sz="6" w:val="single"/>
              <w:right w:color="ffffff" w:space="0" w:sz="6" w:val="single"/>
            </w:tcBorders>
            <w:shd w:fill="f6f9fc" w:val="clear"/>
            <w:tcMar>
              <w:top w:w="110.0" w:type="dxa"/>
              <w:left w:w="120.0" w:type="dxa"/>
              <w:bottom w:w="110.0" w:type="dxa"/>
              <w:right w:w="120.0" w:type="dxa"/>
            </w:tcMar>
            <w:vAlign w:val="center"/>
          </w:tcPr>
          <w:p w14:paraId="00000053">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Verbindliche Zeitbox vor Ausarbeitung der Gruppenübung erfragen.</w:t>
            </w:r>
          </w:p>
        </w:tc>
      </w:tr>
      <w:tr>
        <w:trPr>
          <w:cantSplit w:val="1"/>
          <w:trHeight w:val="58" w:hRule="atLeast"/>
          <w:tblHeader w:val="0"/>
        </w:trPr>
        <w:tc>
          <w:tcPr>
            <w:tcBorders>
              <w:top w:color="ffffff" w:space="0" w:sz="6" w:val="single"/>
              <w:left w:color="ffffff" w:space="0" w:sz="6" w:val="single"/>
              <w:bottom w:color="ffffff" w:space="0" w:sz="6" w:val="single"/>
              <w:right w:color="ffffff" w:space="0" w:sz="6" w:val="single"/>
            </w:tcBorders>
            <w:shd w:fill="e6f0f8" w:val="clear"/>
            <w:tcMar>
              <w:top w:w="110.0" w:type="dxa"/>
              <w:left w:w="120.0" w:type="dxa"/>
              <w:bottom w:w="110.0" w:type="dxa"/>
              <w:right w:w="120.0" w:type="dxa"/>
            </w:tcMar>
            <w:vAlign w:val="center"/>
          </w:tcPr>
          <w:p w14:paraId="00000054">
            <w:pPr>
              <w:spacing w:after="25" w:line="285" w:lineRule="auto"/>
              <w:rPr>
                <w:rFonts w:ascii="Helvetica Neue" w:cs="Helvetica Neue" w:eastAsia="Helvetica Neue" w:hAnsi="Helvetica Neue"/>
              </w:rPr>
            </w:pPr>
            <w:r>
              <w:rPr>
                <w:rFonts w:ascii="Helvetica Neue" w:cs="Helvetica Neue" w:eastAsia="Helvetica Neue" w:hAnsi="Helvetica Neue"/>
                <w:color w:val="233447"/>
                <w:rtl w:val="0"/>
              </w:rPr>
              <w:t>Hoch</w:t>
            </w:r>
          </w:p>
        </w:tc>
        <w:tc>
          <w:tcPr>
            <w:tcBorders>
              <w:top w:color="ffffff" w:space="0" w:sz="6" w:val="single"/>
              <w:left w:color="ffffff" w:space="0" w:sz="6" w:val="single"/>
              <w:bottom w:color="ffffff" w:space="0" w:sz="6" w:val="single"/>
              <w:right w:color="ffffff" w:space="0" w:sz="6" w:val="single"/>
            </w:tcBorders>
            <w:shd w:fill="ffffff" w:val="clear"/>
            <w:tcMar>
              <w:top w:w="110.0" w:type="dxa"/>
              <w:left w:w="120.0" w:type="dxa"/>
              <w:bottom w:w="110.0" w:type="dxa"/>
              <w:right w:w="120.0" w:type="dxa"/>
            </w:tcMar>
            <w:vAlign w:val="center"/>
          </w:tcPr>
          <w:p w14:paraId="00000055">
            <w:pPr>
              <w:spacing w:after="25" w:line="285" w:lineRule="auto"/>
              <w:rPr>
                <w:rFonts w:ascii="Helvetica Neue" w:cs="Helvetica Neue" w:eastAsia="Helvetica Neue" w:hAnsi="Helvetica Neue"/>
              </w:rPr>
            </w:pPr>
            <w:r>
              <w:rPr>
                <w:rFonts w:ascii="Helvetica Neue" w:cs="Helvetica Neue" w:eastAsia="Helvetica Neue" w:hAnsi="Helvetica Neue"/>
                <w:color w:val="233447"/>
                <w:rtl w:val="0"/>
              </w:rPr>
              <w:t>Wann beginnt/endet die Projektleistung genau?</w:t>
            </w:r>
          </w:p>
        </w:tc>
        <w:tc>
          <w:tcPr>
            <w:tcBorders>
              <w:top w:color="ffffff" w:space="0" w:sz="6" w:val="single"/>
              <w:left w:color="ffffff" w:space="0" w:sz="6" w:val="single"/>
              <w:bottom w:color="ffffff" w:space="0" w:sz="6" w:val="single"/>
              <w:right w:color="ffffff" w:space="0" w:sz="6" w:val="single"/>
            </w:tcBorders>
            <w:shd w:fill="ffffff" w:val="clear"/>
            <w:tcMar>
              <w:top w:w="110.0" w:type="dxa"/>
              <w:left w:w="120.0" w:type="dxa"/>
              <w:bottom w:w="110.0" w:type="dxa"/>
              <w:right w:w="120.0" w:type="dxa"/>
            </w:tcMar>
            <w:vAlign w:val="center"/>
          </w:tcPr>
          <w:p w14:paraId="00000056">
            <w:pPr>
              <w:spacing w:after="25" w:line="285" w:lineRule="auto"/>
              <w:rPr>
                <w:rFonts w:ascii="Helvetica Neue" w:cs="Helvetica Neue" w:eastAsia="Helvetica Neue" w:hAnsi="Helvetica Neue"/>
              </w:rPr>
            </w:pPr>
            <w:r>
              <w:rPr>
                <w:rFonts w:ascii="Helvetica Neue" w:cs="Helvetica Neue" w:eastAsia="Helvetica Neue" w:hAnsi="Helvetica Neue"/>
                <w:color w:val="233447"/>
                <w:rtl w:val="0"/>
              </w:rPr>
              <w:t>Konzept Woche 7-8; W7 zugleich Vertiefung; W8 ohne Details.</w:t>
            </w:r>
          </w:p>
        </w:tc>
        <w:tc>
          <w:tcPr>
            <w:tcBorders>
              <w:top w:color="ffffff" w:space="0" w:sz="6" w:val="single"/>
              <w:left w:color="ffffff" w:space="0" w:sz="6" w:val="single"/>
              <w:bottom w:color="ffffff" w:space="0" w:sz="6" w:val="single"/>
              <w:right w:color="ffffff" w:space="0" w:sz="6" w:val="single"/>
            </w:tcBorders>
            <w:shd w:fill="ffffff" w:val="clear"/>
            <w:tcMar>
              <w:top w:w="110.0" w:type="dxa"/>
              <w:left w:w="120.0" w:type="dxa"/>
              <w:bottom w:w="110.0" w:type="dxa"/>
              <w:right w:w="120.0" w:type="dxa"/>
            </w:tcMar>
            <w:vAlign w:val="center"/>
          </w:tcPr>
          <w:p w14:paraId="00000057">
            <w:pPr>
              <w:spacing w:after="25" w:line="285" w:lineRule="auto"/>
              <w:rPr>
                <w:rFonts w:ascii="Helvetica Neue" w:cs="Helvetica Neue" w:eastAsia="Helvetica Neue" w:hAnsi="Helvetica Neue"/>
              </w:rPr>
            </w:pPr>
            <w:r>
              <w:rPr>
                <w:rFonts w:ascii="Helvetica Neue" w:cs="Helvetica Neue" w:eastAsia="Helvetica Neue" w:hAnsi="Helvetica Neue"/>
                <w:color w:val="233447"/>
                <w:rtl w:val="0"/>
              </w:rPr>
              <w:t>Aufgabenstellung, Abgabe, Präsentation und Bonusnachweis sichern.</w:t>
            </w:r>
          </w:p>
        </w:tc>
      </w:tr>
      <w:tr>
        <w:trPr>
          <w:cantSplit w:val="1"/>
          <w:tblHeader w:val="0"/>
        </w:trPr>
        <w:tc>
          <w:tcPr>
            <w:tcBorders>
              <w:top w:color="ffffff" w:space="0" w:sz="6" w:val="single"/>
              <w:left w:color="ffffff" w:space="0" w:sz="6" w:val="single"/>
              <w:bottom w:color="ffffff" w:space="0" w:sz="6" w:val="single"/>
              <w:right w:color="ffffff" w:space="0" w:sz="6" w:val="single"/>
            </w:tcBorders>
            <w:shd w:fill="e6f0f8" w:val="clear"/>
            <w:tcMar>
              <w:top w:w="110.0" w:type="dxa"/>
              <w:left w:w="120.0" w:type="dxa"/>
              <w:bottom w:w="110.0" w:type="dxa"/>
              <w:right w:w="120.0" w:type="dxa"/>
            </w:tcMar>
            <w:vAlign w:val="center"/>
          </w:tcPr>
          <w:p w14:paraId="00000044">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Mittel</w:t>
            </w:r>
          </w:p>
        </w:tc>
        <w:tc>
          <w:tcPr>
            <w:tcBorders>
              <w:top w:color="ffffff" w:space="0" w:sz="6" w:val="single"/>
              <w:left w:color="ffffff" w:space="0" w:sz="6" w:val="single"/>
              <w:bottom w:color="ffffff" w:space="0" w:sz="6" w:val="single"/>
              <w:right w:color="ffffff" w:space="0" w:sz="6" w:val="single"/>
            </w:tcBorders>
            <w:shd w:fill="ffffff" w:val="clear"/>
            <w:tcMar>
              <w:top w:w="110.0" w:type="dxa"/>
              <w:left w:w="120.0" w:type="dxa"/>
              <w:bottom w:w="110.0" w:type="dxa"/>
              <w:right w:w="120.0" w:type="dxa"/>
            </w:tcMar>
            <w:vAlign w:val="center"/>
          </w:tcPr>
          <w:p w14:paraId="00000045">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Welche Hilfsmittel, Tools und formalen Regeln gelten?</w:t>
            </w:r>
          </w:p>
        </w:tc>
        <w:tc>
          <w:tcPr>
            <w:tcBorders>
              <w:top w:color="ffffff" w:space="0" w:sz="6" w:val="single"/>
              <w:left w:color="ffffff" w:space="0" w:sz="6" w:val="single"/>
              <w:bottom w:color="ffffff" w:space="0" w:sz="6" w:val="single"/>
              <w:right w:color="ffffff" w:space="0" w:sz="6" w:val="single"/>
            </w:tcBorders>
            <w:shd w:fill="ffffff" w:val="clear"/>
            <w:tcMar>
              <w:top w:w="110.0" w:type="dxa"/>
              <w:left w:w="120.0" w:type="dxa"/>
              <w:bottom w:w="110.0" w:type="dxa"/>
              <w:right w:w="120.0" w:type="dxa"/>
            </w:tcMar>
            <w:vAlign w:val="center"/>
          </w:tcPr>
          <w:p w14:paraId="00000046">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In Organisationsdateien weiterhin offen.</w:t>
            </w:r>
          </w:p>
        </w:tc>
        <w:tc>
          <w:tcPr>
            <w:tcBorders>
              <w:top w:color="ffffff" w:space="0" w:sz="6" w:val="single"/>
              <w:left w:color="ffffff" w:space="0" w:sz="6" w:val="single"/>
              <w:bottom w:color="ffffff" w:space="0" w:sz="6" w:val="single"/>
              <w:right w:color="ffffff" w:space="0" w:sz="6" w:val="single"/>
            </w:tcBorders>
            <w:shd w:fill="ffffff" w:val="clear"/>
            <w:tcMar>
              <w:top w:w="110.0" w:type="dxa"/>
              <w:left w:w="120.0" w:type="dxa"/>
              <w:bottom w:w="110.0" w:type="dxa"/>
              <w:right w:w="120.0" w:type="dxa"/>
            </w:tcMar>
            <w:vAlign w:val="center"/>
          </w:tcPr>
          <w:p w14:paraId="00000047">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Modellierungssoftware, Dateiformat, Quellen und Anwesenheit klären.</w:t>
            </w:r>
          </w:p>
        </w:tc>
      </w:tr>
      <w:tr>
        <w:trPr>
          <w:cantSplit w:val="1"/>
          <w:tblHeader w:val="0"/>
        </w:trPr>
        <w:tc>
          <w:tcPr>
            <w:tcBorders>
              <w:top w:color="ffffff" w:space="0" w:sz="6" w:val="single"/>
              <w:left w:color="ffffff" w:space="0" w:sz="6" w:val="single"/>
              <w:bottom w:color="ffffff" w:space="0" w:sz="6" w:val="single"/>
              <w:right w:color="ffffff" w:space="0" w:sz="6" w:val="single"/>
            </w:tcBorders>
            <w:shd w:fill="e6f0f8" w:val="clear"/>
            <w:tcMar>
              <w:top w:w="110.0" w:type="dxa"/>
              <w:left w:w="120.0" w:type="dxa"/>
              <w:bottom w:w="110.0" w:type="dxa"/>
              <w:right w:w="120.0" w:type="dxa"/>
            </w:tcMar>
            <w:vAlign w:val="center"/>
          </w:tcPr>
          <w:p w14:paraId="00000048">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Mittel</w:t>
            </w:r>
          </w:p>
        </w:tc>
        <w:tc>
          <w:tcPr>
            <w:tcBorders>
              <w:top w:color="ffffff" w:space="0" w:sz="6" w:val="single"/>
              <w:left w:color="ffffff" w:space="0" w:sz="6" w:val="single"/>
              <w:bottom w:color="ffffff" w:space="0" w:sz="6" w:val="single"/>
              <w:right w:color="ffffff" w:space="0" w:sz="6" w:val="single"/>
            </w:tcBorders>
            <w:shd w:fill="f6f9fc" w:val="clear"/>
            <w:tcMar>
              <w:top w:w="110.0" w:type="dxa"/>
              <w:left w:w="120.0" w:type="dxa"/>
              <w:bottom w:w="110.0" w:type="dxa"/>
              <w:right w:w="120.0" w:type="dxa"/>
            </w:tcMar>
            <w:vAlign w:val="center"/>
          </w:tcPr>
          <w:p w14:paraId="00000049">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Wann kommen die fehlenden Foliensätze?</w:t>
            </w:r>
          </w:p>
        </w:tc>
        <w:tc>
          <w:tcPr>
            <w:tcBorders>
              <w:top w:color="ffffff" w:space="0" w:sz="6" w:val="single"/>
              <w:left w:color="ffffff" w:space="0" w:sz="6" w:val="single"/>
              <w:bottom w:color="ffffff" w:space="0" w:sz="6" w:val="single"/>
              <w:right w:color="ffffff" w:space="0" w:sz="6" w:val="single"/>
            </w:tcBorders>
            <w:shd w:fill="f6f9fc" w:val="clear"/>
            <w:tcMar>
              <w:top w:w="110.0" w:type="dxa"/>
              <w:left w:w="120.0" w:type="dxa"/>
              <w:bottom w:w="110.0" w:type="dxa"/>
              <w:right w:w="120.0" w:type="dxa"/>
            </w:tcMar>
            <w:vAlign w:val="center"/>
          </w:tcPr>
          <w:p w14:paraId="0000004A">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Detailliert vorhanden sind nur Grundlagen und EPK.</w:t>
            </w:r>
          </w:p>
        </w:tc>
        <w:tc>
          <w:tcPr>
            <w:tcBorders>
              <w:top w:color="ffffff" w:space="0" w:sz="6" w:val="single"/>
              <w:left w:color="ffffff" w:space="0" w:sz="6" w:val="single"/>
              <w:bottom w:color="ffffff" w:space="0" w:sz="6" w:val="single"/>
              <w:right w:color="ffffff" w:space="0" w:sz="6" w:val="single"/>
            </w:tcBorders>
            <w:shd w:fill="f6f9fc" w:val="clear"/>
            <w:tcMar>
              <w:top w:w="110.0" w:type="dxa"/>
              <w:left w:w="120.0" w:type="dxa"/>
              <w:bottom w:w="110.0" w:type="dxa"/>
              <w:right w:w="120.0" w:type="dxa"/>
            </w:tcMar>
            <w:vAlign w:val="center"/>
          </w:tcPr>
          <w:p w14:paraId="0000004B">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BPMN-, PN-, ERM- und UML-Unterlagen nach jeder Sitzung ablegen.</w:t>
            </w:r>
          </w:p>
        </w:tc>
      </w:tr>
    </w:tbl>
    <w:p>
      <w:pPr>
        <w:spacing w:after="60"/>
      </w:pPr>
    </w:p>
    <w:p>
      <w:pPr>
        <w:pStyle w:val="Heading1"/>
        <w:keepNext/>
        <w:pageBreakBefore w:val="0"/>
      </w:pPr>
      <w:r>
        <w:rPr>
          <w:rFonts w:ascii="Helvetica Neue" w:hAnsi="Helvetica Neue"/>
          <w:color w:val="082A4A"/>
        </w:rPr>
        <w:t>12.  Entscheidung und nächste Schritte</w:t>
      </w:r>
    </w:p>
    <w:p>
      <w:pPr>
        <w:keepLines w:val="0"/>
        <w:spacing w:before="0" w:after="110" w:line="300" w:lineRule="auto"/>
        <w:jc w:val="both"/>
      </w:pPr>
      <w:r>
        <w:rPr>
          <w:rFonts w:ascii="Helvetica Neue" w:hAnsi="Helvetica Neue"/>
          <w:color w:val="233447"/>
          <w:sz w:val="21"/>
        </w:rPr>
        <w:t>Arbeite ab sofort ereignisgesteuert: Jede Lehrveranstaltung löst innerhalb von 24 Stunden eine eigene Modellierungs- und Prüfeinheit aus. Parallel wird ein gemeinsames Glossar aufgebaut, damit die Modelle der Projektphase konsistent bleiben.</w:t>
      </w:r>
    </w:p>
    <w:tbl>
      <w:tblPr>
        <w:tblStyle w:val="Table9"/>
        <w:tblW w:w="10440.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00"/>
      </w:tblPr>
      <w:tblGrid>
        <w:gridCol w:w="2954"/>
        <w:gridCol w:w="3713"/>
        <w:gridCol w:w="3773"/>
        <w:tblGridChange w:id="0">
          <w:tblGrid>
            <w:gridCol w:w="2954"/>
            <w:gridCol w:w="3713"/>
            <w:gridCol w:w="3773"/>
          </w:tblGrid>
        </w:tblGridChange>
      </w:tblGrid>
      <w:tr>
        <w:trPr>
          <w:cantSplit w:val="1"/>
          <w:tblHeader w:val="1"/>
        </w:trPr>
        <w:tc>
          <w:tcPr>
            <w:tcBorders>
              <w:top w:color="ffffff" w:space="0" w:sz="6" w:val="single"/>
              <w:left w:color="ffffff" w:space="0" w:sz="6" w:val="single"/>
              <w:bottom w:color="ffffff" w:space="0" w:sz="6" w:val="single"/>
              <w:right w:color="ffffff" w:space="0" w:sz="6" w:val="single"/>
            </w:tcBorders>
            <w:shd w:fill="082a4a" w:val="clear"/>
            <w:tcMar>
              <w:top w:w="110.0" w:type="dxa"/>
              <w:left w:w="120.0" w:type="dxa"/>
              <w:bottom w:w="110.0" w:type="dxa"/>
              <w:right w:w="120.0" w:type="dxa"/>
            </w:tcMar>
            <w:vAlign w:val="center"/>
          </w:tcPr>
          <w:p w14:paraId="000000E5">
            <w:pPr>
              <w:spacing w:after="0" w:before="20" w:line="265" w:lineRule="auto"/>
              <w:rPr>
                <w:rFonts w:ascii="Helvetica Neue" w:cs="Helvetica Neue" w:eastAsia="Helvetica Neue" w:hAnsi="Helvetica Neue"/>
              </w:rPr>
            </w:pPr>
            <w:r>
              <w:rPr>
                <w:rFonts w:ascii="Helvetica Neue" w:cs="Helvetica Neue" w:eastAsia="Helvetica Neue" w:hAnsi="Helvetica Neue"/>
                <w:b w:val="1"/>
                <w:bCs w:val="1"/>
                <w:color w:val="ffffff"/>
                <w:rtl w:val="0"/>
              </w:rPr>
              <w:t>Meilenstein</w:t>
            </w:r>
          </w:p>
        </w:tc>
        <w:tc>
          <w:tcPr>
            <w:tcBorders>
              <w:top w:color="ffffff" w:space="0" w:sz="6" w:val="single"/>
              <w:left w:color="ffffff" w:space="0" w:sz="6" w:val="single"/>
              <w:bottom w:color="ffffff" w:space="0" w:sz="6" w:val="single"/>
              <w:right w:color="ffffff" w:space="0" w:sz="6" w:val="single"/>
            </w:tcBorders>
            <w:shd w:fill="082a4a" w:val="clear"/>
            <w:tcMar>
              <w:top w:w="110.0" w:type="dxa"/>
              <w:left w:w="120.0" w:type="dxa"/>
              <w:bottom w:w="110.0" w:type="dxa"/>
              <w:right w:w="120.0" w:type="dxa"/>
            </w:tcMar>
            <w:vAlign w:val="center"/>
          </w:tcPr>
          <w:p w14:paraId="000000E6">
            <w:pPr>
              <w:spacing w:after="0" w:before="20" w:line="265" w:lineRule="auto"/>
              <w:rPr>
                <w:rFonts w:ascii="Helvetica Neue" w:cs="Helvetica Neue" w:eastAsia="Helvetica Neue" w:hAnsi="Helvetica Neue"/>
              </w:rPr>
            </w:pPr>
            <w:r>
              <w:rPr>
                <w:rFonts w:ascii="Helvetica Neue" w:cs="Helvetica Neue" w:eastAsia="Helvetica Neue" w:hAnsi="Helvetica Neue"/>
                <w:b w:val="1"/>
                <w:bCs w:val="1"/>
                <w:color w:val="ffffff"/>
                <w:rtl w:val="0"/>
              </w:rPr>
              <w:t>Lieferobjekt</w:t>
            </w:r>
          </w:p>
        </w:tc>
        <w:tc>
          <w:tcPr>
            <w:tcBorders>
              <w:top w:color="ffffff" w:space="0" w:sz="6" w:val="single"/>
              <w:left w:color="ffffff" w:space="0" w:sz="6" w:val="single"/>
              <w:bottom w:color="ffffff" w:space="0" w:sz="6" w:val="single"/>
              <w:right w:color="ffffff" w:space="0" w:sz="6" w:val="single"/>
            </w:tcBorders>
            <w:shd w:fill="082a4a" w:val="clear"/>
            <w:tcMar>
              <w:top w:w="110.0" w:type="dxa"/>
              <w:left w:w="120.0" w:type="dxa"/>
              <w:bottom w:w="110.0" w:type="dxa"/>
              <w:right w:w="120.0" w:type="dxa"/>
            </w:tcMar>
            <w:vAlign w:val="center"/>
          </w:tcPr>
          <w:p w14:paraId="000000E7">
            <w:pPr>
              <w:spacing w:after="0" w:before="20" w:line="265" w:lineRule="auto"/>
              <w:rPr>
                <w:rFonts w:ascii="Helvetica Neue" w:cs="Helvetica Neue" w:eastAsia="Helvetica Neue" w:hAnsi="Helvetica Neue"/>
              </w:rPr>
            </w:pPr>
            <w:r>
              <w:rPr>
                <w:rFonts w:ascii="Helvetica Neue" w:cs="Helvetica Neue" w:eastAsia="Helvetica Neue" w:hAnsi="Helvetica Neue"/>
                <w:b w:val="1"/>
                <w:bCs w:val="1"/>
                <w:color w:val="ffffff"/>
                <w:rtl w:val="0"/>
              </w:rPr>
              <w:t>Abnahmekriterium</w:t>
            </w:r>
          </w:p>
        </w:tc>
      </w:tr>
      <w:tr>
        <w:trPr>
          <w:cantSplit w:val="1"/>
          <w:tblHeader w:val="0"/>
        </w:trPr>
        <w:tc>
          <w:tcPr>
            <w:tcBorders>
              <w:top w:color="ffffff" w:space="0" w:sz="6" w:val="single"/>
              <w:left w:color="ffffff" w:space="0" w:sz="6" w:val="single"/>
              <w:bottom w:color="ffffff" w:space="0" w:sz="6" w:val="single"/>
              <w:right w:color="ffffff" w:space="0" w:sz="6" w:val="single"/>
            </w:tcBorders>
            <w:shd w:fill="e6f0f8" w:val="clear"/>
            <w:tcMar>
              <w:top w:w="110.0" w:type="dxa"/>
              <w:left w:w="120.0" w:type="dxa"/>
              <w:bottom w:w="110.0" w:type="dxa"/>
              <w:right w:w="120.0" w:type="dxa"/>
            </w:tcMar>
            <w:vAlign w:val="center"/>
          </w:tcPr>
          <w:p w14:paraId="000000E8">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M1 / 29.07.</w:t>
            </w:r>
          </w:p>
        </w:tc>
        <w:tc>
          <w:tcPr>
            <w:tcBorders>
              <w:top w:color="ffffff" w:space="0" w:sz="6" w:val="single"/>
              <w:left w:color="ffffff" w:space="0" w:sz="6" w:val="single"/>
              <w:bottom w:color="ffffff" w:space="0" w:sz="6" w:val="single"/>
              <w:right w:color="ffffff" w:space="0" w:sz="6" w:val="single"/>
            </w:tcBorders>
            <w:shd w:fill="ffffff" w:val="clear"/>
            <w:tcMar>
              <w:top w:w="110.0" w:type="dxa"/>
              <w:left w:w="120.0" w:type="dxa"/>
              <w:bottom w:w="110.0" w:type="dxa"/>
              <w:right w:w="120.0" w:type="dxa"/>
            </w:tcMar>
            <w:vAlign w:val="center"/>
          </w:tcPr>
          <w:p w14:paraId="000000E9">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Kurs/Gruppe/Thema geklärt; Grundlagen- und EPK-Spickzettel; zwei EPK-Modelle.</w:t>
            </w:r>
          </w:p>
        </w:tc>
        <w:tc>
          <w:tcPr>
            <w:tcBorders>
              <w:top w:color="ffffff" w:space="0" w:sz="6" w:val="single"/>
              <w:left w:color="ffffff" w:space="0" w:sz="6" w:val="single"/>
              <w:bottom w:color="ffffff" w:space="0" w:sz="6" w:val="single"/>
              <w:right w:color="ffffff" w:space="0" w:sz="6" w:val="single"/>
            </w:tcBorders>
            <w:shd w:fill="ffffff" w:val="clear"/>
            <w:tcMar>
              <w:top w:w="110.0" w:type="dxa"/>
              <w:left w:w="120.0" w:type="dxa"/>
              <w:bottom w:w="110.0" w:type="dxa"/>
              <w:right w:w="120.0" w:type="dxa"/>
            </w:tcMar>
            <w:vAlign w:val="center"/>
          </w:tcPr>
          <w:p w14:paraId="000000EA">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Sieben EPK-Regeln anwendbar; positive/negative Pfade vollständig</w:t>
            </w:r>
          </w:p>
        </w:tc>
      </w:tr>
      <w:tr>
        <w:trPr>
          <w:cantSplit w:val="1"/>
          <w:tblHeader w:val="0"/>
        </w:trPr>
        <w:tc>
          <w:tcPr>
            <w:tcBorders>
              <w:top w:color="ffffff" w:space="0" w:sz="6" w:val="single"/>
              <w:left w:color="ffffff" w:space="0" w:sz="6" w:val="single"/>
              <w:bottom w:color="ffffff" w:space="0" w:sz="6" w:val="single"/>
              <w:right w:color="ffffff" w:space="0" w:sz="6" w:val="single"/>
            </w:tcBorders>
            <w:shd w:fill="e6f0f8" w:val="clear"/>
            <w:tcMar>
              <w:top w:w="110.0" w:type="dxa"/>
              <w:left w:w="120.0" w:type="dxa"/>
              <w:bottom w:w="110.0" w:type="dxa"/>
              <w:right w:w="120.0" w:type="dxa"/>
            </w:tcMar>
            <w:vAlign w:val="center"/>
          </w:tcPr>
          <w:p w14:paraId="000000EB">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M2 / 19.08.</w:t>
            </w:r>
          </w:p>
        </w:tc>
        <w:tc>
          <w:tcPr>
            <w:tcBorders>
              <w:top w:color="ffffff" w:space="0" w:sz="6" w:val="single"/>
              <w:left w:color="ffffff" w:space="0" w:sz="6" w:val="single"/>
              <w:bottom w:color="ffffff" w:space="0" w:sz="6" w:val="single"/>
              <w:right w:color="ffffff" w:space="0" w:sz="6" w:val="single"/>
            </w:tcBorders>
            <w:shd w:fill="f6f9fc" w:val="clear"/>
            <w:tcMar>
              <w:top w:w="110.0" w:type="dxa"/>
              <w:left w:w="120.0" w:type="dxa"/>
              <w:bottom w:w="110.0" w:type="dxa"/>
              <w:right w:w="120.0" w:type="dxa"/>
            </w:tcMar>
            <w:vAlign w:val="center"/>
          </w:tcPr>
          <w:p w14:paraId="000000EC">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Alle neun Modelltypen als Einordnungskarten; vorbereitete Kurz-/Großübung nach Gruppenthema.</w:t>
            </w:r>
          </w:p>
        </w:tc>
        <w:tc>
          <w:tcPr>
            <w:tcBorders>
              <w:top w:color="ffffff" w:space="0" w:sz="6" w:val="single"/>
              <w:left w:color="ffffff" w:space="0" w:sz="6" w:val="single"/>
              <w:bottom w:color="ffffff" w:space="0" w:sz="6" w:val="single"/>
              <w:right w:color="ffffff" w:space="0" w:sz="6" w:val="single"/>
            </w:tcBorders>
            <w:shd w:fill="f6f9fc" w:val="clear"/>
            <w:tcMar>
              <w:top w:w="110.0" w:type="dxa"/>
              <w:left w:w="120.0" w:type="dxa"/>
              <w:bottom w:w="110.0" w:type="dxa"/>
              <w:right w:w="120.0" w:type="dxa"/>
            </w:tcMar>
            <w:vAlign w:val="center"/>
          </w:tcPr>
          <w:p w14:paraId="000000ED">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Aufgabe, Musterlösung, Syntaxcheck und Betreuungskonzept vorhanden</w:t>
            </w:r>
          </w:p>
        </w:tc>
      </w:tr>
      <w:tr>
        <w:trPr>
          <w:cantSplit w:val="1"/>
          <w:tblHeader w:val="0"/>
        </w:trPr>
        <w:tc>
          <w:tcPr>
            <w:tcBorders>
              <w:top w:color="ffffff" w:space="0" w:sz="6" w:val="single"/>
              <w:left w:color="ffffff" w:space="0" w:sz="6" w:val="single"/>
              <w:bottom w:color="ffffff" w:space="0" w:sz="6" w:val="single"/>
              <w:right w:color="ffffff" w:space="0" w:sz="6" w:val="single"/>
            </w:tcBorders>
            <w:shd w:fill="e6f0f8" w:val="clear"/>
            <w:tcMar>
              <w:top w:w="110.0" w:type="dxa"/>
              <w:left w:w="120.0" w:type="dxa"/>
              <w:bottom w:w="110.0" w:type="dxa"/>
              <w:right w:w="120.0" w:type="dxa"/>
            </w:tcMar>
            <w:vAlign w:val="center"/>
          </w:tcPr>
          <w:p w14:paraId="000000EE">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M3 / 02.09.</w:t>
            </w:r>
          </w:p>
        </w:tc>
        <w:tc>
          <w:tcPr>
            <w:tcBorders>
              <w:top w:color="ffffff" w:space="0" w:sz="6" w:val="single"/>
              <w:left w:color="ffffff" w:space="0" w:sz="6" w:val="single"/>
              <w:bottom w:color="ffffff" w:space="0" w:sz="6" w:val="single"/>
              <w:right w:color="ffffff" w:space="0" w:sz="6" w:val="single"/>
            </w:tcBorders>
            <w:shd w:fill="ffffff" w:val="clear"/>
            <w:tcMar>
              <w:top w:w="110.0" w:type="dxa"/>
              <w:left w:w="120.0" w:type="dxa"/>
              <w:bottom w:w="110.0" w:type="dxa"/>
              <w:right w:w="120.0" w:type="dxa"/>
            </w:tcMar>
            <w:vAlign w:val="center"/>
          </w:tcPr>
          <w:p w14:paraId="000000EF">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Gemischte Modellierungsfälle und konsistentes Fachglossar.</w:t>
            </w:r>
          </w:p>
        </w:tc>
        <w:tc>
          <w:tcPr>
            <w:tcBorders>
              <w:top w:color="ffffff" w:space="0" w:sz="6" w:val="single"/>
              <w:left w:color="ffffff" w:space="0" w:sz="6" w:val="single"/>
              <w:bottom w:color="ffffff" w:space="0" w:sz="6" w:val="single"/>
              <w:right w:color="ffffff" w:space="0" w:sz="6" w:val="single"/>
            </w:tcBorders>
            <w:shd w:fill="ffffff" w:val="clear"/>
            <w:tcMar>
              <w:top w:w="110.0" w:type="dxa"/>
              <w:left w:w="120.0" w:type="dxa"/>
              <w:bottom w:w="110.0" w:type="dxa"/>
              <w:right w:w="120.0" w:type="dxa"/>
            </w:tcMar>
            <w:vAlign w:val="center"/>
          </w:tcPr>
          <w:p w14:paraId="000000F0">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Modellwahl begründet; mindestens 80 Prozent im gemischten Test</w:t>
            </w:r>
          </w:p>
        </w:tc>
      </w:tr>
      <w:tr>
        <w:trPr>
          <w:cantSplit w:val="1"/>
          <w:tblHeader w:val="0"/>
        </w:trPr>
        <w:tc>
          <w:tcPr>
            <w:tcBorders>
              <w:top w:color="ffffff" w:space="0" w:sz="6" w:val="single"/>
              <w:left w:color="ffffff" w:space="0" w:sz="6" w:val="single"/>
              <w:bottom w:color="ffffff" w:space="0" w:sz="6" w:val="single"/>
              <w:right w:color="ffffff" w:space="0" w:sz="6" w:val="single"/>
            </w:tcBorders>
            <w:shd w:fill="e6f0f8" w:val="clear"/>
            <w:tcMar>
              <w:top w:w="110.0" w:type="dxa"/>
              <w:left w:w="120.0" w:type="dxa"/>
              <w:bottom w:w="110.0" w:type="dxa"/>
              <w:right w:w="120.0" w:type="dxa"/>
            </w:tcMar>
            <w:vAlign w:val="center"/>
          </w:tcPr>
          <w:p w14:paraId="000000F1">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M4 / 16.09.</w:t>
            </w:r>
          </w:p>
        </w:tc>
        <w:tc>
          <w:tcPr>
            <w:tcBorders>
              <w:top w:color="ffffff" w:space="0" w:sz="6" w:val="single"/>
              <w:left w:color="ffffff" w:space="0" w:sz="6" w:val="single"/>
              <w:bottom w:color="ffffff" w:space="0" w:sz="6" w:val="single"/>
              <w:right w:color="ffffff" w:space="0" w:sz="6" w:val="single"/>
            </w:tcBorders>
            <w:shd w:fill="f6f9fc" w:val="clear"/>
            <w:tcMar>
              <w:top w:w="110.0" w:type="dxa"/>
              <w:left w:w="120.0" w:type="dxa"/>
              <w:bottom w:w="110.0" w:type="dxa"/>
              <w:right w:w="120.0" w:type="dxa"/>
            </w:tcMar>
            <w:vAlign w:val="center"/>
          </w:tcPr>
          <w:p w14:paraId="000000F2">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Integriertes Projektmodell und Präsentationsfassung.</w:t>
            </w:r>
          </w:p>
        </w:tc>
        <w:tc>
          <w:tcPr>
            <w:tcBorders>
              <w:top w:color="ffffff" w:space="0" w:sz="6" w:val="single"/>
              <w:left w:color="ffffff" w:space="0" w:sz="6" w:val="single"/>
              <w:bottom w:color="ffffff" w:space="0" w:sz="6" w:val="single"/>
              <w:right w:color="ffffff" w:space="0" w:sz="6" w:val="single"/>
            </w:tcBorders>
            <w:shd w:fill="f6f9fc" w:val="clear"/>
            <w:tcMar>
              <w:top w:w="110.0" w:type="dxa"/>
              <w:left w:w="120.0" w:type="dxa"/>
              <w:bottom w:w="110.0" w:type="dxa"/>
              <w:right w:w="120.0" w:type="dxa"/>
            </w:tcMar>
            <w:vAlign w:val="center"/>
          </w:tcPr>
          <w:p w14:paraId="000000F3">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Vollständigkeit, Konsistenz, Syntax und Bonusanforderung geprüft</w:t>
            </w:r>
          </w:p>
        </w:tc>
      </w:tr>
    </w:tbl>
    <w:p>
      <w:pPr>
        <w:spacing w:after="60"/>
      </w:pPr>
    </w:p>
    <w:p>
      <w:pPr>
        <w:pStyle w:val="Heading2"/>
        <w:keepNext/>
        <w:spacing w:before="160" w:after="80"/>
      </w:pPr>
      <w:r>
        <w:rPr>
          <w:rFonts w:ascii="Helvetica Neue" w:hAnsi="Helvetica Neue"/>
          <w:b/>
          <w:color w:val="5B7085"/>
          <w:sz w:val="21"/>
        </w:rPr>
        <w:t>Nächste 90 Minuten</w:t>
      </w:r>
    </w:p>
    <w:p>
      <w:pPr>
        <w:keepLines w:val="0"/>
        <w:spacing w:before="0" w:after="110" w:line="300" w:lineRule="auto"/>
        <w:jc w:val="both"/>
      </w:pPr>
      <w:r>
        <w:rPr>
          <w:rFonts w:ascii="Helvetica Neue" w:hAnsi="Helvetica Neue"/>
          <w:b/>
          <w:color w:val="082A4A"/>
          <w:sz w:val="21"/>
        </w:rPr>
        <w:t xml:space="preserve">1 / 15 Min.: </w:t>
      </w:r>
      <w:r>
        <w:rPr>
          <w:rFonts w:ascii="Helvetica Neue" w:hAnsi="Helvetica Neue"/>
          <w:color w:val="233447"/>
          <w:sz w:val="21"/>
        </w:rPr>
        <w:t>Kurszuordnung, Gruppe und Thema festhalten; alle offenen Prüfungsfragen in einer Nachricht oder Frageliste sammeln.</w:t>
      </w:r>
    </w:p>
    <w:p>
      <w:pPr>
        <w:keepLines w:val="0"/>
        <w:spacing w:before="0" w:after="110" w:line="300" w:lineRule="auto"/>
        <w:jc w:val="both"/>
      </w:pPr>
      <w:r>
        <w:rPr>
          <w:rFonts w:ascii="Helvetica Neue" w:hAnsi="Helvetica Neue"/>
          <w:b/>
          <w:color w:val="082A4A"/>
          <w:sz w:val="21"/>
        </w:rPr>
        <w:t xml:space="preserve">2 / 25 Min.: </w:t>
      </w:r>
      <w:r>
        <w:rPr>
          <w:rFonts w:ascii="Helvetica Neue" w:hAnsi="Helvetica Neue"/>
          <w:color w:val="233447"/>
          <w:sz w:val="21"/>
        </w:rPr>
        <w:t>Aus MOBIS_Einleitung die Begriffe Informationssystem, Modell, Syntax, Semantik und ARIS ohne Vorlage erklären.</w:t>
      </w:r>
    </w:p>
    <w:p>
      <w:pPr>
        <w:keepLines w:val="0"/>
        <w:spacing w:before="0" w:after="110" w:line="300" w:lineRule="auto"/>
        <w:jc w:val="both"/>
      </w:pPr>
      <w:r>
        <w:rPr>
          <w:rFonts w:ascii="Helvetica Neue" w:hAnsi="Helvetica Neue"/>
          <w:b/>
          <w:color w:val="082A4A"/>
          <w:sz w:val="21"/>
        </w:rPr>
        <w:t xml:space="preserve">3 / 35 Min.: </w:t>
      </w:r>
      <w:r>
        <w:rPr>
          <w:rFonts w:ascii="Helvetica Neue" w:hAnsi="Helvetica Neue"/>
          <w:color w:val="233447"/>
          <w:sz w:val="21"/>
        </w:rPr>
        <w:t>Bibliotheksausleihe als EPK neu modellieren; danach Hotelreservierung mit vollständigem Absagepfad prüfen.</w:t>
      </w:r>
    </w:p>
    <w:p>
      <w:pPr>
        <w:keepLines w:val="0"/>
        <w:spacing w:before="0" w:after="110" w:line="300" w:lineRule="auto"/>
        <w:jc w:val="both"/>
      </w:pPr>
      <w:r>
        <w:rPr>
          <w:rFonts w:ascii="Helvetica Neue" w:hAnsi="Helvetica Neue"/>
          <w:b/>
          <w:color w:val="082A4A"/>
          <w:sz w:val="21"/>
        </w:rPr>
        <w:t xml:space="preserve">4 / 15 Min.: </w:t>
      </w:r>
      <w:r>
        <w:rPr>
          <w:rFonts w:ascii="Helvetica Neue" w:hAnsi="Helvetica Neue"/>
          <w:color w:val="233447"/>
          <w:sz w:val="21"/>
        </w:rPr>
        <w:t>Fehlerprotokoll anlegen und einen 24-Stunden-Nachtest terminieren.</w:t>
      </w:r>
    </w:p>
    <w:p>
      <w:pPr>
        <w:pStyle w:val="Heading2"/>
        <w:keepNext/>
        <w:spacing w:before="160" w:after="80"/>
      </w:pPr>
      <w:r>
        <w:rPr>
          <w:rFonts w:ascii="Helvetica Neue" w:hAnsi="Helvetica Neue"/>
          <w:b/>
          <w:color w:val="5B7085"/>
          <w:sz w:val="21"/>
        </w:rPr>
        <w:t>Quellen- und Statushinweise</w:t>
      </w:r>
    </w:p>
    <w:p>
      <w:pPr>
        <w:keepLines w:val="0"/>
        <w:spacing w:before="0" w:after="0" w:line="264" w:lineRule="auto"/>
        <w:jc w:val="both"/>
      </w:pPr>
      <w:r>
        <w:rPr>
          <w:rFonts w:ascii="Helvetica Neue" w:hAnsi="Helvetica Neue"/>
          <w:color w:val="233447"/>
          <w:sz w:val="19"/>
        </w:rPr>
        <w:t>Kursquellen: MOBIS_Einleitung.pptx; Konzept.pptx; EPK.pptx; Aufgaben_EPK_Keine_Lösung.pptx; Themen_Zeitplan_2026_BI-2.xlsx (BI-1!B10:I15); Themenverteilung.xlsx (Tabelle1!C7:G15). Status: Kernelemente für BPMN, Petri-Netze, ERM und UML sind als Tutoren-Ergänzung markiert und nach Erhalt der Dozentenunterlagen abzugleichen.</w:t>
      </w:r>
    </w:p>
    <w:sectPr>
      <w:headerReference r:id="rId10" w:type="default"/>
      <w:headerReference r:id="rId11" w:type="first"/>
      <w:footerReference r:id="rId12" w:type="default"/>
      <w:footerReference r:id="rId13" w:type="first"/>
      <w:pgSz w:h="15840" w:w="12240" w:orient="portrait"/>
      <w:pgMar w:bottom="893" w:top="1008" w:left="1008" w:right="1008" w:header="720" w:footer="72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Helvetica Neue">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Helvetica Neue Light">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14:paraId="000000F7">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60" w:lineRule="auto"/>
      <w:ind w:left="0" w:right="0" w:firstLine="0"/>
      <w:jc w:val="center"/>
      <w:rPr>
        <w:rFonts w:ascii="Arial" w:cs="Arial" w:eastAsia="Arial" w:hAnsi="Arial"/>
        <w:b w:val="0"/>
        <w:bCs w:val="0"/>
        <w:i w:val="0"/>
        <w:iCs w:val="0"/>
        <w:smallCaps w:val="0"/>
        <w:strike w:val="0"/>
        <w:color w:val="5b7085"/>
        <w:sz w:val="20"/>
        <w:szCs w:val="20"/>
        <w:u w:val="none"/>
        <w:shd w:fill="auto" w:val="clear"/>
        <w:vertAlign w:val="baseline"/>
      </w:rPr>
    </w:pPr>
    <w:r>
      <w:rPr>
        <w:rFonts w:ascii="Arial" w:cs="Arial" w:eastAsia="Arial" w:hAnsi="Arial"/>
        <w:b w:val="0"/>
        <w:bCs w:val="0"/>
        <w:i w:val="0"/>
        <w:iCs w:val="0"/>
        <w:smallCaps w:val="0"/>
        <w:strike w:val="0"/>
        <w:color w:val="5b7085"/>
        <w:sz w:val="16"/>
        <w:szCs w:val="16"/>
        <w:u w:val="none"/>
        <w:shd w:fill="auto" w:val="clear"/>
        <w:vertAlign w:val="baseline"/>
        <w:rtl w:val="0"/>
      </w:rPr>
      <w:t>HSBA | MOBIS | Persönlicher Lehrplan</w:t>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14:paraId="000000F9">
    <w:pPr>
      <w:rPr/>
    </w:pPr>
    <w:r>
      <w:rPr>
        <w:rtl w:val="0"/>
      </w:rPr>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14:paraId="000000F5">
      <w:pPr>
        <w:spacing w:after="0" w:line="270" w:lineRule="auto"/>
        <w:jc w:val="both"/>
        <w:rPr/>
      </w:pPr>
      <w:r>
        <w:rPr>
          <w:rStyle w:val="FootnoteReference"/>
          <w:vertAlign w:val="superscript"/>
        </w:rPr>
        <w:footnoteRef/>
      </w:r>
      <w:r>
        <w:rPr>
          <w:color w:val="233447"/>
          <w:rtl w:val="0"/>
        </w:rPr>
        <w:t xml:space="preserve"> Use footnotes for definitions, assumptions, or terms that need precision without interrupting the main narrative.</w:t>
      </w:r>
      <w:r>
        <w:rPr>
          <w:rtl w:val="0"/>
        </w:rPr>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14:paraId="000000F6">
    <w:pPr>
      <w:rPr/>
    </w:pPr>
    <w:r>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14:paraId="000000F8">
    <w:pPr>
      <w:rPr/>
    </w:pPr>
    <w:r>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lowerLetter"/>
      <w:lvlText w:val="%1."/>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
    <w:lvl w:ilvl="0">
      <w:start w:val="1"/>
      <w:numFmt w:val="lowerLetter"/>
      <w:lvlText w:val="%1."/>
      <w:lvlJc w:val="left"/>
      <w:pPr>
        <w:ind w:left="360" w:hanging="360"/>
      </w:pPr>
      <w:rPr/>
    </w:lvl>
    <w:lvl w:ilvl="1">
      <w:start w:val="1"/>
      <w:numFmt w:val="lowerLetter"/>
      <w:lvlText w:val="%2)"/>
      <w:lvlJc w:val="left"/>
      <w:pPr>
        <w:ind w:left="720" w:hanging="360"/>
      </w:pPr>
      <w:rPr/>
    </w:lvl>
    <w:lvl w:ilvl="2">
      <w:start w:val="1"/>
      <w:numFmt w:val="lowerRoman"/>
      <w:lvlText w:val="%3)"/>
      <w:lvlJc w:val="left"/>
      <w:pPr>
        <w:ind w:left="1080" w:hanging="360"/>
      </w:pPr>
      <w:rPr/>
    </w:lvl>
    <w:lvl w:ilvl="3">
      <w:start w:val="1"/>
      <w:numFmt w:val="decimal"/>
      <w:lvlText w:val="(%4)"/>
      <w:lvlJc w:val="left"/>
      <w:pPr>
        <w:ind w:left="1440" w:hanging="360"/>
      </w:pPr>
      <w:rPr/>
    </w:lvl>
    <w:lvl w:ilvl="4">
      <w:start w:val="1"/>
      <w:numFmt w:val="lowerLetter"/>
      <w:lvlText w:val="(%5)"/>
      <w:lvlJc w:val="left"/>
      <w:pPr>
        <w:ind w:left="1800" w:hanging="360"/>
      </w:pPr>
      <w:rPr/>
    </w:lvl>
    <w:lvl w:ilvl="5">
      <w:start w:val="1"/>
      <w:numFmt w:val="lowerRoman"/>
      <w:lvlText w:val="(%6)"/>
      <w:lvlJc w:val="left"/>
      <w:pPr>
        <w:ind w:left="2160" w:hanging="360"/>
      </w:pPr>
      <w:rPr/>
    </w:lvl>
    <w:lvl w:ilvl="6">
      <w:start w:val="1"/>
      <w:numFmt w:val="decimal"/>
      <w:lvlText w:val="%7."/>
      <w:lvlJc w:val="left"/>
      <w:pPr>
        <w:ind w:left="2520" w:hanging="360"/>
      </w:pPr>
      <w:rPr/>
    </w:lvl>
    <w:lvl w:ilvl="7">
      <w:start w:val="1"/>
      <w:numFmt w:val="lowerLetter"/>
      <w:lvlText w:val="%8."/>
      <w:lvlJc w:val="left"/>
      <w:pPr>
        <w:ind w:left="2880" w:hanging="360"/>
      </w:pPr>
      <w:rPr/>
    </w:lvl>
    <w:lvl w:ilvl="8">
      <w:start w:val="1"/>
      <w:numFmt w:val="lowerRoman"/>
      <w:lvlText w:val="%9."/>
      <w:lvlJc w:val="left"/>
      <w:pPr>
        <w:ind w:left="3240" w:hanging="360"/>
      </w:pPr>
      <w:rPr/>
    </w:lvl>
  </w:abstractNum>
  <w:abstractNum w:abstractNumId="3">
    <w:lvl w:ilvl="0">
      <w:start w:val="1"/>
      <w:numFmt w:val="lowerLetter"/>
      <w:lvlText w:val="%1."/>
      <w:lvlJc w:val="left"/>
      <w:pPr>
        <w:ind w:left="360" w:hanging="360"/>
      </w:pPr>
      <w:rPr/>
    </w:lvl>
    <w:lvl w:ilvl="1">
      <w:start w:val="1"/>
      <w:numFmt w:val="lowerLetter"/>
      <w:lvlText w:val="%2)"/>
      <w:lvlJc w:val="left"/>
      <w:pPr>
        <w:ind w:left="720" w:hanging="360"/>
      </w:pPr>
      <w:rPr/>
    </w:lvl>
    <w:lvl w:ilvl="2">
      <w:start w:val="1"/>
      <w:numFmt w:val="lowerRoman"/>
      <w:lvlText w:val="%3)"/>
      <w:lvlJc w:val="left"/>
      <w:pPr>
        <w:ind w:left="1080" w:hanging="360"/>
      </w:pPr>
      <w:rPr/>
    </w:lvl>
    <w:lvl w:ilvl="3">
      <w:start w:val="1"/>
      <w:numFmt w:val="decimal"/>
      <w:lvlText w:val="(%4)"/>
      <w:lvlJc w:val="left"/>
      <w:pPr>
        <w:ind w:left="1440" w:hanging="360"/>
      </w:pPr>
      <w:rPr/>
    </w:lvl>
    <w:lvl w:ilvl="4">
      <w:start w:val="1"/>
      <w:numFmt w:val="lowerLetter"/>
      <w:lvlText w:val="(%5)"/>
      <w:lvlJc w:val="left"/>
      <w:pPr>
        <w:ind w:left="1800" w:hanging="360"/>
      </w:pPr>
      <w:rPr/>
    </w:lvl>
    <w:lvl w:ilvl="5">
      <w:start w:val="1"/>
      <w:numFmt w:val="lowerRoman"/>
      <w:lvlText w:val="(%6)"/>
      <w:lvlJc w:val="left"/>
      <w:pPr>
        <w:ind w:left="2160" w:hanging="360"/>
      </w:pPr>
      <w:rPr/>
    </w:lvl>
    <w:lvl w:ilvl="6">
      <w:start w:val="1"/>
      <w:numFmt w:val="decimal"/>
      <w:lvlText w:val="%7."/>
      <w:lvlJc w:val="left"/>
      <w:pPr>
        <w:ind w:left="2520" w:hanging="360"/>
      </w:pPr>
      <w:rPr/>
    </w:lvl>
    <w:lvl w:ilvl="7">
      <w:start w:val="1"/>
      <w:numFmt w:val="lowerLetter"/>
      <w:lvlText w:val="%8."/>
      <w:lvlJc w:val="left"/>
      <w:pPr>
        <w:ind w:left="2880" w:hanging="360"/>
      </w:pPr>
      <w:rPr/>
    </w:lvl>
    <w:lvl w:ilvl="8">
      <w:start w:val="1"/>
      <w:numFmt w:val="lowerRoman"/>
      <w:lvlText w:val="%9."/>
      <w:lvlJc w:val="left"/>
      <w:pPr>
        <w:ind w:left="3240" w:hanging="360"/>
      </w:pPr>
      <w:rPr/>
    </w:lvl>
  </w:abstractNum>
  <w:abstractNum w:abstractNumId="4">
    <w:lvl w:ilvl="0">
      <w:start w:val="1"/>
      <w:numFmt w:val="lowerLetter"/>
      <w:lvlText w:val="%1."/>
      <w:lvlJc w:val="left"/>
      <w:pPr>
        <w:ind w:left="36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color w:val="233447"/>
        <w:lang w:val="en"/>
      </w:rPr>
    </w:rPrDefault>
    <w:pPrDefault>
      <w:pPr>
        <w:spacing w:after="110" w:line="30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Bdr>
        <w:top w:color="2f6b9a" w:space="2" w:sz="0" w:val="none"/>
        <w:left w:color="2f6b9a" w:space="2" w:sz="0" w:val="none"/>
        <w:bottom w:color="2f6b9a" w:space="2" w:sz="0" w:val="none"/>
        <w:right w:color="2f6b9a" w:space="2" w:sz="0" w:val="none"/>
      </w:pBdr>
      <w:spacing w:after="130" w:line="285" w:lineRule="auto"/>
    </w:pPr>
    <w:rPr>
      <w:b w:val="1"/>
      <w:bCs w:val="1"/>
      <w:color w:val="082a4a"/>
      <w:sz w:val="27"/>
      <w:szCs w:val="27"/>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smallCaps w:val="1"/>
      <w:color w:val="082a4a"/>
      <w:sz w:val="19"/>
      <w:szCs w:val="19"/>
    </w:rPr>
  </w:style>
  <w:style w:type="paragraph" w:styleId="Heading3">
    <w:name w:val="heading 3"/>
    <w:basedOn w:val="Normal"/>
    <w:next w:val="Normal"/>
    <w:pPr>
      <w:keepNext w:val="1"/>
      <w:keepLines w:val="1"/>
    </w:pPr>
    <w:rPr>
      <w:rFonts w:ascii="Helvetica Neue" w:cs="Helvetica Neue" w:eastAsia="Helvetica Neue" w:hAnsi="Helvetica Neue"/>
      <w:b w:val="1"/>
      <w:bCs w:val="1"/>
      <w:color w:val="5b7085"/>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082a4a"/>
    </w:rPr>
  </w:style>
  <w:style w:type="paragraph" w:styleId="Heading5">
    <w:name w:val="heading 5"/>
    <w:basedOn w:val="Normal"/>
    <w:next w:val="Normal"/>
    <w:pPr>
      <w:keepNext w:val="1"/>
      <w:keepLines w:val="1"/>
      <w:spacing w:after="0" w:before="200" w:lineRule="auto"/>
    </w:pPr>
    <w:rPr>
      <w:rFonts w:ascii="Calibri" w:cs="Calibri" w:eastAsia="Calibri" w:hAnsi="Calibri"/>
      <w:color w:val="082a4a"/>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082a4a"/>
    </w:rPr>
  </w:style>
  <w:style w:type="paragraph" w:styleId="Title">
    <w:name w:val="Title"/>
    <w:basedOn w:val="Normal"/>
    <w:next w:val="Normal"/>
    <w:pPr>
      <w:spacing w:after="150" w:lineRule="auto"/>
    </w:pPr>
    <w:rPr>
      <w:b w:val="1"/>
      <w:bCs w:val="1"/>
      <w:color w:val="082a4a"/>
      <w:sz w:val="44"/>
      <w:szCs w:val="44"/>
    </w:rPr>
  </w:style>
  <w:style w:type="paragraph" w:styleId="Subtitle">
    <w:name w:val="Subtitle"/>
    <w:basedOn w:val="Normal"/>
    <w:next w:val="Normal"/>
    <w:pPr/>
    <w:rPr>
      <w:rFonts w:ascii="Calibri" w:cs="Calibri" w:eastAsia="Calibri" w:hAnsi="Calibri"/>
      <w:i w:val="1"/>
      <w:iCs w:val="1"/>
      <w:color w:val="082a4a"/>
      <w:sz w:val="24"/>
      <w:szCs w:val="24"/>
    </w:rPr>
  </w:style>
  <w:style w:type="table" w:styleId="Table1">
    <w:basedOn w:val="TableNormal"/>
    <w:tblPr>
      <w:tblStyleRowBandSize w:val="1"/>
      <w:tblStyleColBandSize w:val="1"/>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7">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8">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9">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_rels/document.xml.rels><?xml version='1.0' encoding='UTF-8' standalone='yes'?>
<Relationships xmlns="http://schemas.openxmlformats.org/package/2006/relationships"><Relationship Id="rId11" Type="http://schemas.openxmlformats.org/officeDocument/2006/relationships/header" Target="header2.xml"/><Relationship Id="rId10" Type="http://schemas.openxmlformats.org/officeDocument/2006/relationships/header" Target="header1.xml"/><Relationship Id="rId13" Type="http://schemas.openxmlformats.org/officeDocument/2006/relationships/footer" Target="footer2.xml"/><Relationship Id="rId12" Type="http://schemas.openxmlformats.org/officeDocument/2006/relationships/footer" Target="foot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hyperlink" Target="https://example.com/system-design/contracts" TargetMode="External"/><Relationship Id="rId5" Type="http://schemas.openxmlformats.org/officeDocument/2006/relationships/numbering" Target="numbering.xml"/><Relationship Id="rId6" Type="http://schemas.openxmlformats.org/officeDocument/2006/relationships/styles" Target="styles.xml"/><Relationship Id="rId8"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HelveticaNeue-regular.ttf"/><Relationship Id="rId2" Type="http://schemas.openxmlformats.org/officeDocument/2006/relationships/font" Target="fonts/HelveticaNeue-bold.ttf"/><Relationship Id="rId3" Type="http://schemas.openxmlformats.org/officeDocument/2006/relationships/font" Target="fonts/HelveticaNeue-italic.ttf"/><Relationship Id="rId4" Type="http://schemas.openxmlformats.org/officeDocument/2006/relationships/font" Target="fonts/HelveticaNeue-boldItalic.ttf"/><Relationship Id="rId5" Type="http://schemas.openxmlformats.org/officeDocument/2006/relationships/font" Target="fonts/HelveticaNeueLight-regular.ttf"/><Relationship Id="rId6" Type="http://schemas.openxmlformats.org/officeDocument/2006/relationships/font" Target="fonts/HelveticaNeueLight-bold.ttf"/><Relationship Id="rId7" Type="http://schemas.openxmlformats.org/officeDocument/2006/relationships/font" Target="fonts/HelveticaNeueLight-italic.ttf"/><Relationship Id="rId8" Type="http://schemas.openxmlformats.org/officeDocument/2006/relationships/font" Target="fonts/HelveticaNeueLight-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