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A6B4C"/>
          <w:sz w:val="44"/>
          <w:szCs w:val="44"/>
        </w:rPr>
        <w:t xml:space="preserve">Praxisbericht Marketing Management</w:t>
      </w:r>
    </w:p>
    <w:p>
      <w:pPr>
        <w:spacing w:after="200"/>
      </w:pPr>
      <w:r>
        <w:rPr>
          <w:b/>
          <w:bCs/>
          <w:sz w:val="30"/>
          <w:szCs w:val="30"/>
        </w:rPr>
        <w:t xml:space="preserve">Fallunternehmen Spotify Technology S.A.</w:t>
      </w:r>
    </w:p>
    <w:p>
      <w:pPr>
        <w:spacing w:after="120"/>
      </w:pPr>
      <w:r>
        <w:rPr>
          <w:i/>
          <w:iCs/>
          <w:color w:val="555555"/>
          <w:sz w:val="22"/>
          <w:szCs w:val="22"/>
        </w:rPr>
        <w:t xml:space="preserve">Arbeitsgrundlage für das Team: Formalia, Fokus, Gliederung, Quellenkonzept und ausgearbeitetes Arbeitspaket „Kunden und Märkte“</w:t>
      </w:r>
    </w:p>
    <w:p>
      <w:pPr>
        <w:pBdr>
          <w:bottom w:val="single" w:color="1A6B4C" w:sz="8" w:space="6"/>
        </w:pBdr>
        <w:spacing w:after="240"/>
      </w:pPr>
      <w:r>
        <w:rPr>
          <w:color w:val="777777"/>
          <w:sz w:val="18"/>
          <w:szCs w:val="18"/>
        </w:rPr>
        <w:t xml:space="preserve">HSBA Hamburg School of Business Administration · Studienjahr 2025/2026 · Dozentin: Prof. Dr. Ann-Kristin Hölter · Stand: 24. August 2026</w:t>
      </w:r>
    </w:p>
    <w:p>
      <w:pPr>
        <w:pBdr>
          <w:left w:val="single" w:color="1A6B4C" w:sz="18" w:space="8"/>
        </w:pBdr>
        <w:shd w:fill="F2F4F3" w:val="clear"/>
        <w:spacing w:after="160" w:before="120" w:line="276"/>
        <w:ind w:left="120" w:right="120"/>
      </w:pPr>
      <w:r>
        <w:rPr>
          <w:b/>
          <w:bCs/>
        </w:rPr>
        <w:t xml:space="preserve">Wozu dieses Dokument dient.</w:t>
      </w:r>
      <w:r>
        <w:t xml:space="preserve"> Es bündelt die Vorgaben aus dem HSBA-Leitfaden zum Praxisbericht und den „Rules and Guidelines for Written Assignments and Theses“, schlägt einen tragfähigen inhaltlichen Fokus vor, liefert eine vollständige Gliederung mit Wortbudget und arbeitet den ersten Schritt des Marketing-Management-Prozesses – Kunden und Märkte – so weit aus, dass ihr am Dienstag direkt damit arbeiten könnt. Alle Zahlen sind mit Stichtag und Quelle versehen. Es ist ein Arbeitspapier, kein Berichtstext: Formulierungen sind bewusst knapp gehalten und müssen für die Abgabe eigenständig ausformuliert werden.</w:t>
      </w:r>
    </w:p>
    <w:p>
      <w:pPr>
        <w:pStyle w:val="Heading1"/>
        <w:spacing w:after="160" w:before="360"/>
      </w:pPr>
      <w:r>
        <w:t xml:space="preserve">1. Formalia – was der Leitfaden verbindlich vorgibt</w:t>
      </w:r>
    </w:p>
    <w:p>
      <w:pPr>
        <w:spacing w:after="120" w:line="276"/>
        <w:jc w:val="both"/>
      </w:pPr>
      <w:r>
        <w:t xml:space="preserve">Die folgenden Punkte stammen unmittelbar aus den beiden Leitfaden-Dokumenten. Sie sind nicht verhandelbar und entscheiden über 20 der 100 Bewertungspunkte sowie über das Bestehen.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0"/>
      </w:tblGrid>
      <w:tr>
        <w:trPr>
          <w:tblHeader/>
        </w:trPr>
        <w:tc>
          <w:tcPr>
            <w:tcW w:type="dxa" w:w="1800"/>
            <w:shd w:fill="1A6B4C" w:val="clear"/>
            <w:tcMar>
              <w:top w:type="dxa" w:w="60"/>
              <w:left w:type="dxa" w:w="100"/>
              <w:bottom w:type="dxa" w:w="60"/>
              <w:right w:type="dxa" w:w="100"/>
            </w:tcMar>
          </w:tcPr>
          <w:p>
            <w:pPr>
              <w:spacing w:after="40" w:before="40"/>
            </w:pPr>
            <w:r>
              <w:rPr>
                <w:b/>
                <w:bCs/>
                <w:color w:val="FFFFFF"/>
                <w:sz w:val="18"/>
                <w:szCs w:val="18"/>
              </w:rPr>
              <w:t xml:space="preserve">Vorgabe</w:t>
            </w:r>
          </w:p>
        </w:tc>
        <w:tc>
          <w:tcPr>
            <w:tcW w:type="dxa" w:w="3700"/>
            <w:shd w:fill="1A6B4C" w:val="clear"/>
            <w:tcMar>
              <w:top w:type="dxa" w:w="60"/>
              <w:left w:type="dxa" w:w="100"/>
              <w:bottom w:type="dxa" w:w="60"/>
              <w:right w:type="dxa" w:w="100"/>
            </w:tcMar>
          </w:tcPr>
          <w:p>
            <w:pPr>
              <w:spacing w:after="40" w:before="40"/>
            </w:pPr>
            <w:r>
              <w:rPr>
                <w:b/>
                <w:bCs/>
                <w:color w:val="FFFFFF"/>
                <w:sz w:val="18"/>
                <w:szCs w:val="18"/>
              </w:rPr>
              <w:t xml:space="preserve">Anforderung</w:t>
            </w:r>
          </w:p>
        </w:tc>
        <w:tc>
          <w:tcPr>
            <w:tcW w:type="dxa" w:w="3520"/>
            <w:shd w:fill="1A6B4C" w:val="clear"/>
            <w:tcMar>
              <w:top w:type="dxa" w:w="60"/>
              <w:left w:type="dxa" w:w="100"/>
              <w:bottom w:type="dxa" w:w="60"/>
              <w:right w:type="dxa" w:w="100"/>
            </w:tcMar>
          </w:tcPr>
          <w:p>
            <w:pPr>
              <w:spacing w:after="40" w:before="40"/>
            </w:pPr>
            <w:r>
              <w:rPr>
                <w:b/>
                <w:bCs/>
                <w:color w:val="FFFFFF"/>
                <w:sz w:val="18"/>
                <w:szCs w:val="18"/>
              </w:rPr>
              <w:t xml:space="preserve">Konsequenz für uns</w:t>
            </w:r>
          </w:p>
        </w:tc>
      </w:tr>
      <w:tr>
        <w:tc>
          <w:tcPr>
            <w:tcW w:type="dxa" w:w="1800"/>
            <w:shd w:fill="FFFFFF" w:val="clear"/>
            <w:tcMar>
              <w:top w:type="dxa" w:w="60"/>
              <w:left w:type="dxa" w:w="100"/>
              <w:bottom w:type="dxa" w:w="60"/>
              <w:right w:type="dxa" w:w="100"/>
            </w:tcMar>
          </w:tcPr>
          <w:p>
            <w:pPr>
              <w:spacing w:after="40" w:before="40"/>
            </w:pPr>
            <w:r>
              <w:rPr>
                <w:b w:val="false"/>
                <w:bCs w:val="false"/>
                <w:color w:val="000000"/>
                <w:sz w:val="18"/>
                <w:szCs w:val="18"/>
              </w:rPr>
              <w:t xml:space="preserve">Umfang</w:t>
            </w:r>
          </w:p>
        </w:tc>
        <w:tc>
          <w:tcPr>
            <w:tcW w:type="dxa" w:w="3700"/>
            <w:shd w:fill="FFFFFF" w:val="clear"/>
            <w:tcMar>
              <w:top w:type="dxa" w:w="60"/>
              <w:left w:type="dxa" w:w="100"/>
              <w:bottom w:type="dxa" w:w="60"/>
              <w:right w:type="dxa" w:w="100"/>
            </w:tcMar>
          </w:tcPr>
          <w:p>
            <w:pPr>
              <w:spacing w:after="40" w:before="40"/>
            </w:pPr>
            <w:r>
              <w:rPr>
                <w:b w:val="false"/>
                <w:bCs w:val="false"/>
                <w:color w:val="000000"/>
                <w:sz w:val="18"/>
                <w:szCs w:val="18"/>
              </w:rPr>
              <w:t xml:space="preserve">4.000–6.000 Wörter, inklusive Fußnoten, ohne Titelblatt, Literaturverzeichnis und Anhang</w:t>
            </w:r>
          </w:p>
        </w:tc>
        <w:tc>
          <w:tcPr>
            <w:tcW w:type="dxa" w:w="3520"/>
            <w:shd w:fill="FFFFFF" w:val="clear"/>
            <w:tcMar>
              <w:top w:type="dxa" w:w="60"/>
              <w:left w:type="dxa" w:w="100"/>
              <w:bottom w:type="dxa" w:w="60"/>
              <w:right w:type="dxa" w:w="100"/>
            </w:tcMar>
          </w:tcPr>
          <w:p>
            <w:pPr>
              <w:spacing w:after="40" w:before="40"/>
            </w:pPr>
            <w:r>
              <w:rPr>
                <w:b w:val="false"/>
                <w:bCs w:val="false"/>
                <w:color w:val="000000"/>
                <w:sz w:val="18"/>
                <w:szCs w:val="18"/>
              </w:rPr>
              <w:t xml:space="preserve">Zielkorridor </w:t>
            </w:r>
            <w:r>
              <w:rPr>
                <w:b/>
                <w:bCs/>
                <w:color w:val="000000"/>
                <w:sz w:val="18"/>
                <w:szCs w:val="18"/>
              </w:rPr>
              <w:t xml:space="preserve">5.500 Wörter</w:t>
            </w:r>
            <w:r>
              <w:rPr>
                <w:b w:val="false"/>
                <w:bCs w:val="false"/>
                <w:color w:val="000000"/>
                <w:sz w:val="18"/>
                <w:szCs w:val="18"/>
              </w:rPr>
              <w:t xml:space="preserve">. Wortbudget je Kapitel siehe Abschnitt 3.</w:t>
            </w:r>
          </w:p>
        </w:tc>
      </w:tr>
      <w:tr>
        <w:tc>
          <w:tcPr>
            <w:tcW w:type="dxa" w:w="1800"/>
            <w:shd w:fill="F2F4F3" w:val="clear"/>
            <w:tcMar>
              <w:top w:type="dxa" w:w="60"/>
              <w:left w:type="dxa" w:w="100"/>
              <w:bottom w:type="dxa" w:w="60"/>
              <w:right w:type="dxa" w:w="100"/>
            </w:tcMar>
          </w:tcPr>
          <w:p>
            <w:pPr>
              <w:spacing w:after="40" w:before="40"/>
            </w:pPr>
            <w:r>
              <w:rPr>
                <w:b w:val="false"/>
                <w:bCs w:val="false"/>
                <w:color w:val="000000"/>
                <w:sz w:val="18"/>
                <w:szCs w:val="18"/>
              </w:rPr>
              <w:t xml:space="preserve">Team</w:t>
            </w:r>
          </w:p>
        </w:tc>
        <w:tc>
          <w:tcPr>
            <w:tcW w:type="dxa" w:w="3700"/>
            <w:shd w:fill="F2F4F3" w:val="clear"/>
            <w:tcMar>
              <w:top w:type="dxa" w:w="60"/>
              <w:left w:type="dxa" w:w="100"/>
              <w:bottom w:type="dxa" w:w="60"/>
              <w:right w:type="dxa" w:w="100"/>
            </w:tcMar>
          </w:tcPr>
          <w:p>
            <w:pPr>
              <w:spacing w:after="40" w:before="40"/>
            </w:pPr>
            <w:r>
              <w:rPr>
                <w:b w:val="false"/>
                <w:bCs w:val="false"/>
                <w:color w:val="000000"/>
                <w:sz w:val="18"/>
                <w:szCs w:val="18"/>
              </w:rPr>
              <w:t xml:space="preserve">2 oder 3 Mitglieder, mehr sind nicht erlaubt; Teamliste ist der Dozentin schriftlich vorzulegen</w:t>
            </w:r>
          </w:p>
        </w:tc>
        <w:tc>
          <w:tcPr>
            <w:tcW w:type="dxa" w:w="3520"/>
            <w:shd w:fill="F2F4F3" w:val="clear"/>
            <w:tcMar>
              <w:top w:type="dxa" w:w="60"/>
              <w:left w:type="dxa" w:w="100"/>
              <w:bottom w:type="dxa" w:w="60"/>
              <w:right w:type="dxa" w:w="100"/>
            </w:tcMar>
          </w:tcPr>
          <w:p>
            <w:pPr>
              <w:spacing w:after="40" w:before="40"/>
            </w:pPr>
            <w:r>
              <w:rPr>
                <w:b w:val="false"/>
                <w:bCs w:val="false"/>
                <w:color w:val="000000"/>
                <w:sz w:val="18"/>
                <w:szCs w:val="18"/>
              </w:rPr>
              <w:t xml:space="preserve">Meldefrist laut Vorlesungsplan war der </w:t>
            </w:r>
            <w:r>
              <w:rPr>
                <w:b/>
                <w:bCs/>
                <w:color w:val="000000"/>
                <w:sz w:val="18"/>
                <w:szCs w:val="18"/>
              </w:rPr>
              <w:t xml:space="preserve">10.08.2026, 18 Uhr</w:t>
            </w:r>
            <w:r>
              <w:rPr>
                <w:b w:val="false"/>
                <w:bCs w:val="false"/>
                <w:color w:val="000000"/>
                <w:sz w:val="18"/>
                <w:szCs w:val="18"/>
              </w:rPr>
              <w:t xml:space="preserve"> per E-Mail an annkristin.hoelter@hsba.de – bitte prüfen, ob das erfolgt ist.</w:t>
            </w:r>
          </w:p>
        </w:tc>
      </w:tr>
      <w:tr>
        <w:tc>
          <w:tcPr>
            <w:tcW w:type="dxa" w:w="1800"/>
            <w:shd w:fill="FFFFFF" w:val="clear"/>
            <w:tcMar>
              <w:top w:type="dxa" w:w="60"/>
              <w:left w:type="dxa" w:w="100"/>
              <w:bottom w:type="dxa" w:w="60"/>
              <w:right w:type="dxa" w:w="100"/>
            </w:tcMar>
          </w:tcPr>
          <w:p>
            <w:pPr>
              <w:spacing w:after="40" w:before="40"/>
            </w:pPr>
            <w:r>
              <w:rPr>
                <w:b w:val="false"/>
                <w:bCs w:val="false"/>
                <w:color w:val="000000"/>
                <w:sz w:val="18"/>
                <w:szCs w:val="18"/>
              </w:rPr>
              <w:t xml:space="preserve">Individuelles Fazit</w:t>
            </w:r>
          </w:p>
        </w:tc>
        <w:tc>
          <w:tcPr>
            <w:tcW w:type="dxa" w:w="3700"/>
            <w:shd w:fill="FFFFFF" w:val="clear"/>
            <w:tcMar>
              <w:top w:type="dxa" w:w="60"/>
              <w:left w:type="dxa" w:w="100"/>
              <w:bottom w:type="dxa" w:w="60"/>
              <w:right w:type="dxa" w:w="100"/>
            </w:tcMar>
          </w:tcPr>
          <w:p>
            <w:pPr>
              <w:spacing w:after="40" w:before="40"/>
            </w:pPr>
            <w:r>
              <w:rPr>
                <w:b w:val="false"/>
                <w:bCs w:val="false"/>
                <w:color w:val="000000"/>
                <w:sz w:val="18"/>
                <w:szCs w:val="18"/>
              </w:rPr>
              <w:t xml:space="preserve">Je Teammitglied </w:t>
            </w:r>
            <w:r>
              <w:rPr>
                <w:b/>
                <w:bCs/>
                <w:color w:val="000000"/>
                <w:sz w:val="18"/>
                <w:szCs w:val="18"/>
              </w:rPr>
              <w:t xml:space="preserve">max. 300 Wörter</w:t>
            </w:r>
            <w:r>
              <w:rPr>
                <w:b w:val="false"/>
                <w:bCs w:val="false"/>
                <w:color w:val="000000"/>
                <w:sz w:val="18"/>
                <w:szCs w:val="18"/>
              </w:rPr>
              <w:t xml:space="preserve">, selbständig verfasst, zusätzlich zum Bericht</w:t>
            </w:r>
          </w:p>
        </w:tc>
        <w:tc>
          <w:tcPr>
            <w:tcW w:type="dxa" w:w="3520"/>
            <w:shd w:fill="FFFFFF" w:val="clear"/>
            <w:tcMar>
              <w:top w:type="dxa" w:w="60"/>
              <w:left w:type="dxa" w:w="100"/>
              <w:bottom w:type="dxa" w:w="60"/>
              <w:right w:type="dxa" w:w="100"/>
            </w:tcMar>
          </w:tcPr>
          <w:p>
            <w:pPr>
              <w:spacing w:after="40" w:before="40"/>
            </w:pPr>
            <w:r>
              <w:rPr>
                <w:b w:val="false"/>
                <w:bCs w:val="false"/>
                <w:color w:val="000000"/>
                <w:sz w:val="18"/>
                <w:szCs w:val="18"/>
              </w:rPr>
              <w:t xml:space="preserve">Enthält: zentrale Thesen, praxisrelevante Schlussfolgerungen, kritische Betrachtung des eigenen Vorgehens, Grenzen, Ausblick und weiteren Forschungsbedarf. Zählt 10 Punkte.</w:t>
            </w:r>
          </w:p>
        </w:tc>
      </w:tr>
      <w:tr>
        <w:tc>
          <w:tcPr>
            <w:tcW w:type="dxa" w:w="1800"/>
            <w:shd w:fill="F2F4F3" w:val="clear"/>
            <w:tcMar>
              <w:top w:type="dxa" w:w="60"/>
              <w:left w:type="dxa" w:w="100"/>
              <w:bottom w:type="dxa" w:w="60"/>
              <w:right w:type="dxa" w:w="100"/>
            </w:tcMar>
          </w:tcPr>
          <w:p>
            <w:pPr>
              <w:spacing w:after="40" w:before="40"/>
            </w:pPr>
            <w:r>
              <w:rPr>
                <w:b w:val="false"/>
                <w:bCs w:val="false"/>
                <w:color w:val="000000"/>
                <w:sz w:val="18"/>
                <w:szCs w:val="18"/>
              </w:rPr>
              <w:t xml:space="preserve">Unternehmenswahl</w:t>
            </w:r>
          </w:p>
        </w:tc>
        <w:tc>
          <w:tcPr>
            <w:tcW w:type="dxa" w:w="3700"/>
            <w:shd w:fill="F2F4F3" w:val="clear"/>
            <w:tcMar>
              <w:top w:type="dxa" w:w="60"/>
              <w:left w:type="dxa" w:w="100"/>
              <w:bottom w:type="dxa" w:w="60"/>
              <w:right w:type="dxa" w:w="100"/>
            </w:tcMar>
          </w:tcPr>
          <w:p>
            <w:pPr>
              <w:spacing w:after="40" w:before="40"/>
            </w:pPr>
            <w:r>
              <w:rPr>
                <w:b w:val="false"/>
                <w:bCs w:val="false"/>
                <w:color w:val="000000"/>
                <w:sz w:val="18"/>
                <w:szCs w:val="18"/>
              </w:rPr>
              <w:t xml:space="preserve">Kein HSBA-Kooperationsunternehmen</w:t>
            </w:r>
          </w:p>
        </w:tc>
        <w:tc>
          <w:tcPr>
            <w:tcW w:type="dxa" w:w="3520"/>
            <w:shd w:fill="F2F4F3" w:val="clear"/>
            <w:tcMar>
              <w:top w:type="dxa" w:w="60"/>
              <w:left w:type="dxa" w:w="100"/>
              <w:bottom w:type="dxa" w:w="60"/>
              <w:right w:type="dxa" w:w="100"/>
            </w:tcMar>
          </w:tcPr>
          <w:p>
            <w:pPr>
              <w:spacing w:after="40" w:before="40"/>
            </w:pPr>
            <w:r>
              <w:rPr>
                <w:b w:val="false"/>
                <w:bCs w:val="false"/>
                <w:color w:val="000000"/>
                <w:sz w:val="18"/>
                <w:szCs w:val="18"/>
              </w:rPr>
              <w:t xml:space="preserve">Spotify Technology S.A. ist unproblematisch.</w:t>
            </w:r>
          </w:p>
        </w:tc>
      </w:tr>
      <w:tr>
        <w:tc>
          <w:tcPr>
            <w:tcW w:type="dxa" w:w="1800"/>
            <w:shd w:fill="FFFFFF" w:val="clear"/>
            <w:tcMar>
              <w:top w:type="dxa" w:w="60"/>
              <w:left w:type="dxa" w:w="100"/>
              <w:bottom w:type="dxa" w:w="60"/>
              <w:right w:type="dxa" w:w="100"/>
            </w:tcMar>
          </w:tcPr>
          <w:p>
            <w:pPr>
              <w:spacing w:after="40" w:before="40"/>
            </w:pPr>
            <w:r>
              <w:rPr>
                <w:b w:val="false"/>
                <w:bCs w:val="false"/>
                <w:color w:val="000000"/>
                <w:sz w:val="18"/>
                <w:szCs w:val="18"/>
              </w:rPr>
              <w:t xml:space="preserve">Zitation</w:t>
            </w:r>
          </w:p>
        </w:tc>
        <w:tc>
          <w:tcPr>
            <w:tcW w:type="dxa" w:w="3700"/>
            <w:shd w:fill="FFFFFF" w:val="clear"/>
            <w:tcMar>
              <w:top w:type="dxa" w:w="60"/>
              <w:left w:type="dxa" w:w="100"/>
              <w:bottom w:type="dxa" w:w="60"/>
              <w:right w:type="dxa" w:w="100"/>
            </w:tcMar>
          </w:tcPr>
          <w:p>
            <w:pPr>
              <w:spacing w:after="40" w:before="40"/>
            </w:pPr>
            <w:r>
              <w:rPr>
                <w:b w:val="false"/>
                <w:bCs w:val="false"/>
                <w:color w:val="000000"/>
                <w:sz w:val="18"/>
                <w:szCs w:val="18"/>
              </w:rPr>
              <w:t xml:space="preserve">Chicago Manual of Style; </w:t>
            </w:r>
            <w:r>
              <w:rPr>
                <w:b/>
                <w:bCs/>
                <w:color w:val="000000"/>
                <w:sz w:val="18"/>
                <w:szCs w:val="18"/>
              </w:rPr>
              <w:t xml:space="preserve">Author-Date wird ausdrücklich empfohlen</w:t>
            </w:r>
            <w:r>
              <w:rPr>
                <w:b w:val="false"/>
                <w:bCs w:val="false"/>
                <w:color w:val="000000"/>
                <w:sz w:val="18"/>
                <w:szCs w:val="18"/>
              </w:rPr>
              <w:t xml:space="preserve">; Seitenzahl bei </w:t>
            </w:r>
            <w:r>
              <w:rPr>
                <w:b/>
                <w:bCs/>
                <w:color w:val="000000"/>
                <w:sz w:val="18"/>
                <w:szCs w:val="18"/>
              </w:rPr>
              <w:t xml:space="preserve">jeder</w:t>
            </w:r>
            <w:r>
              <w:rPr>
                <w:b w:val="false"/>
                <w:bCs w:val="false"/>
                <w:color w:val="000000"/>
                <w:sz w:val="18"/>
                <w:szCs w:val="18"/>
              </w:rPr>
              <w:t xml:space="preserve"> Quellenart Pflicht</w:t>
            </w:r>
          </w:p>
        </w:tc>
        <w:tc>
          <w:tcPr>
            <w:tcW w:type="dxa" w:w="3520"/>
            <w:shd w:fill="FFFFFF" w:val="clear"/>
            <w:tcMar>
              <w:top w:type="dxa" w:w="60"/>
              <w:left w:type="dxa" w:w="100"/>
              <w:bottom w:type="dxa" w:w="60"/>
              <w:right w:type="dxa" w:w="100"/>
            </w:tcMar>
          </w:tcPr>
          <w:p>
            <w:pPr>
              <w:spacing w:after="40" w:before="40"/>
            </w:pPr>
            <w:r>
              <w:rPr>
                <w:b w:val="false"/>
                <w:bCs w:val="false"/>
                <w:color w:val="000000"/>
                <w:sz w:val="18"/>
                <w:szCs w:val="18"/>
              </w:rPr>
              <w:t xml:space="preserve">Format im Text: (Kotler und Armstrong 2020, 184). Nur tatsächlich zitierte Quellen ins Literaturverzeichnis.</w:t>
            </w:r>
          </w:p>
        </w:tc>
      </w:tr>
      <w:tr>
        <w:tc>
          <w:tcPr>
            <w:tcW w:type="dxa" w:w="1800"/>
            <w:shd w:fill="F2F4F3" w:val="clear"/>
            <w:tcMar>
              <w:top w:type="dxa" w:w="60"/>
              <w:left w:type="dxa" w:w="100"/>
              <w:bottom w:type="dxa" w:w="60"/>
              <w:right w:type="dxa" w:w="100"/>
            </w:tcMar>
          </w:tcPr>
          <w:p>
            <w:pPr>
              <w:spacing w:after="40" w:before="40"/>
            </w:pPr>
            <w:r>
              <w:rPr>
                <w:b w:val="false"/>
                <w:bCs w:val="false"/>
                <w:color w:val="000000"/>
                <w:sz w:val="18"/>
                <w:szCs w:val="18"/>
              </w:rPr>
              <w:t xml:space="preserve">Vorlesungsfolien</w:t>
            </w:r>
          </w:p>
        </w:tc>
        <w:tc>
          <w:tcPr>
            <w:tcW w:type="dxa" w:w="3700"/>
            <w:shd w:fill="F2F4F3" w:val="clear"/>
            <w:tcMar>
              <w:top w:type="dxa" w:w="60"/>
              <w:left w:type="dxa" w:w="100"/>
              <w:bottom w:type="dxa" w:w="60"/>
              <w:right w:type="dxa" w:w="100"/>
            </w:tcMar>
          </w:tcPr>
          <w:p>
            <w:pPr>
              <w:spacing w:after="40" w:before="40"/>
            </w:pPr>
            <w:r>
              <w:rPr>
                <w:b w:val="false"/>
                <w:bCs w:val="false"/>
                <w:color w:val="000000"/>
                <w:sz w:val="18"/>
                <w:szCs w:val="18"/>
              </w:rPr>
              <w:t xml:space="preserve">Gelten </w:t>
            </w:r>
            <w:r>
              <w:rPr>
                <w:b/>
                <w:bCs/>
                <w:color w:val="000000"/>
                <w:sz w:val="18"/>
                <w:szCs w:val="18"/>
              </w:rPr>
              <w:t xml:space="preserve">nicht</w:t>
            </w:r>
            <w:r>
              <w:rPr>
                <w:b w:val="false"/>
                <w:bCs w:val="false"/>
                <w:color w:val="000000"/>
                <w:sz w:val="18"/>
                <w:szCs w:val="18"/>
              </w:rPr>
              <w:t xml:space="preserve"> als ausreichende wissenschaftliche Quelle</w:t>
            </w:r>
          </w:p>
        </w:tc>
        <w:tc>
          <w:tcPr>
            <w:tcW w:type="dxa" w:w="3520"/>
            <w:shd w:fill="F2F4F3" w:val="clear"/>
            <w:tcMar>
              <w:top w:type="dxa" w:w="60"/>
              <w:left w:type="dxa" w:w="100"/>
              <w:bottom w:type="dxa" w:w="60"/>
              <w:right w:type="dxa" w:w="100"/>
            </w:tcMar>
          </w:tcPr>
          <w:p>
            <w:pPr>
              <w:spacing w:after="40" w:before="40"/>
            </w:pPr>
            <w:r>
              <w:rPr>
                <w:b w:val="false"/>
                <w:bCs w:val="false"/>
                <w:color w:val="000000"/>
                <w:sz w:val="18"/>
                <w:szCs w:val="18"/>
              </w:rPr>
              <w:t xml:space="preserve">Jedes Modell immer aus der Originalliteratur zitieren (Kotler/Armstrong, Homburg, Meffert et al.).</w:t>
            </w:r>
          </w:p>
        </w:tc>
      </w:tr>
      <w:tr>
        <w:tc>
          <w:tcPr>
            <w:tcW w:type="dxa" w:w="1800"/>
            <w:shd w:fill="FFFFFF" w:val="clear"/>
            <w:tcMar>
              <w:top w:type="dxa" w:w="60"/>
              <w:left w:type="dxa" w:w="100"/>
              <w:bottom w:type="dxa" w:w="60"/>
              <w:right w:type="dxa" w:w="100"/>
            </w:tcMar>
          </w:tcPr>
          <w:p>
            <w:pPr>
              <w:spacing w:after="40" w:before="40"/>
            </w:pPr>
            <w:r>
              <w:rPr>
                <w:b w:val="false"/>
                <w:bCs w:val="false"/>
                <w:color w:val="000000"/>
                <w:sz w:val="18"/>
                <w:szCs w:val="18"/>
              </w:rPr>
              <w:t xml:space="preserve">KI-Nutzung</w:t>
            </w:r>
          </w:p>
        </w:tc>
        <w:tc>
          <w:tcPr>
            <w:tcW w:type="dxa" w:w="3700"/>
            <w:shd w:fill="FFFFFF" w:val="clear"/>
            <w:tcMar>
              <w:top w:type="dxa" w:w="60"/>
              <w:left w:type="dxa" w:w="100"/>
              <w:bottom w:type="dxa" w:w="60"/>
              <w:right w:type="dxa" w:w="100"/>
            </w:tcMar>
          </w:tcPr>
          <w:p>
            <w:pPr>
              <w:spacing w:after="40" w:before="40"/>
            </w:pPr>
            <w:r>
              <w:rPr>
                <w:b w:val="false"/>
                <w:bCs w:val="false"/>
                <w:color w:val="000000"/>
                <w:sz w:val="18"/>
                <w:szCs w:val="18"/>
              </w:rPr>
              <w:t xml:space="preserve">Kennzeichnung an der jeweiligen Textstelle </w:t>
            </w:r>
            <w:r>
              <w:rPr>
                <w:b/>
                <w:bCs/>
                <w:color w:val="000000"/>
                <w:sz w:val="18"/>
                <w:szCs w:val="18"/>
              </w:rPr>
              <w:t xml:space="preserve">und</w:t>
            </w:r>
            <w:r>
              <w:rPr>
                <w:b w:val="false"/>
                <w:bCs w:val="false"/>
                <w:color w:val="000000"/>
                <w:sz w:val="18"/>
                <w:szCs w:val="18"/>
              </w:rPr>
              <w:t xml:space="preserve"> vollständige Liste aller Prompts nach dem Literaturverzeichnis (Tool, Prompt, Datum)</w:t>
            </w:r>
          </w:p>
        </w:tc>
        <w:tc>
          <w:tcPr>
            <w:tcW w:type="dxa" w:w="3520"/>
            <w:shd w:fill="FFFFFF" w:val="clear"/>
            <w:tcMar>
              <w:top w:type="dxa" w:w="60"/>
              <w:left w:type="dxa" w:w="100"/>
              <w:bottom w:type="dxa" w:w="60"/>
              <w:right w:type="dxa" w:w="100"/>
            </w:tcMar>
          </w:tcPr>
          <w:p>
            <w:pPr>
              <w:spacing w:after="40" w:before="40"/>
            </w:pPr>
            <w:r>
              <w:rPr>
                <w:b/>
                <w:bCs/>
                <w:color w:val="000000"/>
                <w:sz w:val="18"/>
                <w:szCs w:val="18"/>
              </w:rPr>
              <w:t xml:space="preserve">Ab sofort ein Prompt-Protokoll führen.</w:t>
            </w:r>
            <w:r>
              <w:rPr>
                <w:b w:val="false"/>
                <w:bCs w:val="false"/>
                <w:color w:val="000000"/>
                <w:sz w:val="18"/>
                <w:szCs w:val="18"/>
              </w:rPr>
              <w:t xml:space="preserve"> KI-Ausgaben sind keine zitierfähigen Quellen – jede übernommene Information muss an der Primärquelle verifiziert werden.</w:t>
            </w:r>
          </w:p>
        </w:tc>
      </w:tr>
      <w:tr>
        <w:tc>
          <w:tcPr>
            <w:tcW w:type="dxa" w:w="1800"/>
            <w:shd w:fill="F2F4F3" w:val="clear"/>
            <w:tcMar>
              <w:top w:type="dxa" w:w="60"/>
              <w:left w:type="dxa" w:w="100"/>
              <w:bottom w:type="dxa" w:w="60"/>
              <w:right w:type="dxa" w:w="100"/>
            </w:tcMar>
          </w:tcPr>
          <w:p>
            <w:pPr>
              <w:spacing w:after="40" w:before="40"/>
            </w:pPr>
            <w:r>
              <w:rPr>
                <w:b w:val="false"/>
                <w:bCs w:val="false"/>
                <w:color w:val="000000"/>
                <w:sz w:val="18"/>
                <w:szCs w:val="18"/>
              </w:rPr>
              <w:t xml:space="preserve">Ehrenwörtliche Erklärung</w:t>
            </w:r>
          </w:p>
        </w:tc>
        <w:tc>
          <w:tcPr>
            <w:tcW w:type="dxa" w:w="3700"/>
            <w:shd w:fill="F2F4F3" w:val="clear"/>
            <w:tcMar>
              <w:top w:type="dxa" w:w="60"/>
              <w:left w:type="dxa" w:w="100"/>
              <w:bottom w:type="dxa" w:w="60"/>
              <w:right w:type="dxa" w:w="100"/>
            </w:tcMar>
          </w:tcPr>
          <w:p>
            <w:pPr>
              <w:spacing w:after="40" w:before="40"/>
            </w:pPr>
            <w:r>
              <w:rPr>
                <w:b w:val="false"/>
                <w:bCs w:val="false"/>
                <w:color w:val="000000"/>
                <w:sz w:val="18"/>
                <w:szCs w:val="18"/>
              </w:rPr>
              <w:t xml:space="preserve">Wortlaut aus den Rules and Guidelines, Abschnitt 8, unterschrieben</w:t>
            </w:r>
          </w:p>
        </w:tc>
        <w:tc>
          <w:tcPr>
            <w:tcW w:type="dxa" w:w="3520"/>
            <w:shd w:fill="F2F4F3" w:val="clear"/>
            <w:tcMar>
              <w:top w:type="dxa" w:w="60"/>
              <w:left w:type="dxa" w:w="100"/>
              <w:bottom w:type="dxa" w:w="60"/>
              <w:right w:type="dxa" w:w="100"/>
            </w:tcMar>
          </w:tcPr>
          <w:p>
            <w:pPr>
              <w:spacing w:after="40" w:before="40"/>
            </w:pPr>
            <w:r>
              <w:rPr>
                <w:b w:val="false"/>
                <w:bCs w:val="false"/>
                <w:color w:val="000000"/>
                <w:sz w:val="18"/>
                <w:szCs w:val="18"/>
              </w:rPr>
              <w:t xml:space="preserve">Pflichtbestandteil, deutsche Fassung verwenden.</w:t>
            </w:r>
          </w:p>
        </w:tc>
      </w:tr>
      <w:tr>
        <w:tc>
          <w:tcPr>
            <w:tcW w:type="dxa" w:w="1800"/>
            <w:shd w:fill="FFFFFF" w:val="clear"/>
            <w:tcMar>
              <w:top w:type="dxa" w:w="60"/>
              <w:left w:type="dxa" w:w="100"/>
              <w:bottom w:type="dxa" w:w="60"/>
              <w:right w:type="dxa" w:w="100"/>
            </w:tcMar>
          </w:tcPr>
          <w:p>
            <w:pPr>
              <w:spacing w:after="40" w:before="40"/>
            </w:pPr>
            <w:r>
              <w:rPr>
                <w:b w:val="false"/>
                <w:bCs w:val="false"/>
                <w:color w:val="000000"/>
                <w:sz w:val="18"/>
                <w:szCs w:val="18"/>
              </w:rPr>
              <w:t xml:space="preserve">Aufbau</w:t>
            </w:r>
          </w:p>
        </w:tc>
        <w:tc>
          <w:tcPr>
            <w:tcW w:type="dxa" w:w="3700"/>
            <w:shd w:fill="FFFFFF" w:val="clear"/>
            <w:tcMar>
              <w:top w:type="dxa" w:w="60"/>
              <w:left w:type="dxa" w:w="100"/>
              <w:bottom w:type="dxa" w:w="60"/>
              <w:right w:type="dxa" w:w="100"/>
            </w:tcMar>
          </w:tcPr>
          <w:p>
            <w:pPr>
              <w:spacing w:after="40" w:before="40"/>
            </w:pPr>
            <w:r>
              <w:rPr>
                <w:b w:val="false"/>
                <w:bCs w:val="false"/>
                <w:color w:val="000000"/>
                <w:sz w:val="18"/>
                <w:szCs w:val="18"/>
              </w:rPr>
              <w:t xml:space="preserve">Deckblatt, Inhaltsverzeichnis mit Seitenzahlen, Abbildungs-, Tabellen- und Abkürzungsverzeichnis, Hauptteil, Literaturverzeichnis, Prompt-Liste, Anhang, Erklärung</w:t>
            </w:r>
          </w:p>
        </w:tc>
        <w:tc>
          <w:tcPr>
            <w:tcW w:type="dxa" w:w="3520"/>
            <w:shd w:fill="FFFFFF" w:val="clear"/>
            <w:tcMar>
              <w:top w:type="dxa" w:w="60"/>
              <w:left w:type="dxa" w:w="100"/>
              <w:bottom w:type="dxa" w:w="60"/>
              <w:right w:type="dxa" w:w="100"/>
            </w:tcMar>
          </w:tcPr>
          <w:p>
            <w:pPr>
              <w:spacing w:after="40" w:before="40"/>
            </w:pPr>
            <w:r>
              <w:rPr>
                <w:b w:val="false"/>
                <w:bCs w:val="false"/>
                <w:color w:val="000000"/>
                <w:sz w:val="18"/>
                <w:szCs w:val="18"/>
              </w:rPr>
              <w:t xml:space="preserve">Vorspann römisch nummeriert, ab Kapitel 1 arabisch. Zeilenabstand 1,5.</w:t>
            </w:r>
          </w:p>
        </w:tc>
      </w:tr>
      <w:tr>
        <w:tc>
          <w:tcPr>
            <w:tcW w:type="dxa" w:w="1800"/>
            <w:shd w:fill="F2F4F3" w:val="clear"/>
            <w:tcMar>
              <w:top w:type="dxa" w:w="60"/>
              <w:left w:type="dxa" w:w="100"/>
              <w:bottom w:type="dxa" w:w="60"/>
              <w:right w:type="dxa" w:w="100"/>
            </w:tcMar>
          </w:tcPr>
          <w:p>
            <w:pPr>
              <w:spacing w:after="40" w:before="40"/>
            </w:pPr>
            <w:r>
              <w:rPr>
                <w:b w:val="false"/>
                <w:bCs w:val="false"/>
                <w:color w:val="000000"/>
                <w:sz w:val="18"/>
                <w:szCs w:val="18"/>
              </w:rPr>
              <w:t xml:space="preserve">Abgabe</w:t>
            </w:r>
          </w:p>
        </w:tc>
        <w:tc>
          <w:tcPr>
            <w:tcW w:type="dxa" w:w="3700"/>
            <w:shd w:fill="F2F4F3" w:val="clear"/>
            <w:tcMar>
              <w:top w:type="dxa" w:w="60"/>
              <w:left w:type="dxa" w:w="100"/>
              <w:bottom w:type="dxa" w:w="60"/>
              <w:right w:type="dxa" w:w="100"/>
            </w:tcMar>
          </w:tcPr>
          <w:p>
            <w:pPr>
              <w:spacing w:after="40" w:before="40"/>
            </w:pPr>
            <w:r>
              <w:rPr>
                <w:b w:val="false"/>
                <w:bCs w:val="false"/>
                <w:color w:val="000000"/>
                <w:sz w:val="18"/>
                <w:szCs w:val="18"/>
              </w:rPr>
              <w:t xml:space="preserve">PDF auf </w:t>
            </w:r>
            <w:r>
              <w:rPr>
                <w:b/>
                <w:bCs/>
                <w:color w:val="000000"/>
                <w:sz w:val="18"/>
                <w:szCs w:val="18"/>
              </w:rPr>
              <w:t xml:space="preserve">WISEflow</w:t>
            </w:r>
            <w:r>
              <w:rPr>
                <w:b w:val="false"/>
                <w:bCs w:val="false"/>
                <w:color w:val="000000"/>
                <w:sz w:val="18"/>
                <w:szCs w:val="18"/>
              </w:rPr>
              <w:t xml:space="preserve">, 1. Tag der Prüfungswoche; Word-Datei und Zusatzmaterial als ZIP im Anhang</w:t>
            </w:r>
          </w:p>
        </w:tc>
        <w:tc>
          <w:tcPr>
            <w:tcW w:type="dxa" w:w="3520"/>
            <w:shd w:fill="F2F4F3" w:val="clear"/>
            <w:tcMar>
              <w:top w:type="dxa" w:w="60"/>
              <w:left w:type="dxa" w:w="100"/>
              <w:bottom w:type="dxa" w:w="60"/>
              <w:right w:type="dxa" w:w="100"/>
            </w:tcMar>
          </w:tcPr>
          <w:p>
            <w:pPr>
              <w:spacing w:after="40" w:before="40"/>
            </w:pPr>
            <w:r>
              <w:rPr>
                <w:b w:val="false"/>
                <w:bCs w:val="false"/>
                <w:color w:val="000000"/>
                <w:sz w:val="18"/>
                <w:szCs w:val="18"/>
              </w:rPr>
              <w:t xml:space="preserve">Nicht fristgerecht = Fehlversuch.</w:t>
            </w:r>
          </w:p>
        </w:tc>
      </w:tr>
      <w:tr>
        <w:tc>
          <w:tcPr>
            <w:tcW w:type="dxa" w:w="1800"/>
            <w:shd w:fill="FFFFFF" w:val="clear"/>
            <w:tcMar>
              <w:top w:type="dxa" w:w="60"/>
              <w:left w:type="dxa" w:w="100"/>
              <w:bottom w:type="dxa" w:w="60"/>
              <w:right w:type="dxa" w:w="100"/>
            </w:tcMar>
          </w:tcPr>
          <w:p>
            <w:pPr>
              <w:spacing w:after="40" w:before="40"/>
            </w:pPr>
            <w:r>
              <w:rPr>
                <w:b w:val="false"/>
                <w:bCs w:val="false"/>
                <w:color w:val="000000"/>
                <w:sz w:val="18"/>
                <w:szCs w:val="18"/>
              </w:rPr>
              <w:t xml:space="preserve">Dateiname</w:t>
            </w:r>
          </w:p>
        </w:tc>
        <w:tc>
          <w:tcPr>
            <w:tcW w:type="dxa" w:w="3700"/>
            <w:shd w:fill="FFFFFF" w:val="clear"/>
            <w:tcMar>
              <w:top w:type="dxa" w:w="60"/>
              <w:left w:type="dxa" w:w="100"/>
              <w:bottom w:type="dxa" w:w="60"/>
              <w:right w:type="dxa" w:w="100"/>
            </w:tcMar>
          </w:tcPr>
          <w:p>
            <w:pPr>
              <w:spacing w:after="40" w:before="40"/>
            </w:pPr>
            <w:r>
              <w:rPr>
                <w:b w:val="false"/>
                <w:bCs w:val="false"/>
                <w:color w:val="000000"/>
                <w:sz w:val="18"/>
                <w:szCs w:val="18"/>
              </w:rPr>
              <w:t xml:space="preserve">Studienjahr_TRACK_Studiengruppe_Unternehmen_Studierendenname</w:t>
            </w:r>
          </w:p>
        </w:tc>
        <w:tc>
          <w:tcPr>
            <w:tcW w:type="dxa" w:w="3520"/>
            <w:shd w:fill="FFFFFF" w:val="clear"/>
            <w:tcMar>
              <w:top w:type="dxa" w:w="60"/>
              <w:left w:type="dxa" w:w="100"/>
              <w:bottom w:type="dxa" w:w="60"/>
              <w:right w:type="dxa" w:w="100"/>
            </w:tcMar>
          </w:tcPr>
          <w:p>
            <w:pPr>
              <w:spacing w:after="40" w:before="40"/>
            </w:pPr>
            <w:r>
              <w:rPr>
                <w:b w:val="false"/>
                <w:bCs w:val="false"/>
                <w:color w:val="000000"/>
                <w:sz w:val="18"/>
                <w:szCs w:val="18"/>
              </w:rPr>
              <w:t xml:space="preserve">Beispiel: </w:t>
            </w:r>
            <w:r>
              <w:rPr>
                <w:b/>
                <w:bCs/>
                <w:color w:val="000000"/>
                <w:sz w:val="18"/>
                <w:szCs w:val="18"/>
              </w:rPr>
              <w:t xml:space="preserve">2025A_BA0x_Spotify_Heinsius</w:t>
            </w:r>
          </w:p>
        </w:tc>
      </w:tr>
    </w:tbl>
    <w:p>
      <w:pPr>
        <w:spacing w:after="140"/>
      </w:pPr>
    </w:p>
    <w:p>
      <w:pPr>
        <w:pStyle w:val="Heading2"/>
        <w:spacing w:after="120" w:before="280"/>
      </w:pPr>
      <w:r>
        <w:t xml:space="preserve">Bewertungslogik – und was daraus folgt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120"/>
      </w:tblGrid>
      <w:tr>
        <w:trPr>
          <w:tblHeader/>
        </w:trPr>
        <w:tc>
          <w:tcPr>
            <w:tcW w:type="dxa" w:w="3000"/>
            <w:shd w:fill="1A6B4C" w:val="clear"/>
            <w:tcMar>
              <w:top w:type="dxa" w:w="60"/>
              <w:left w:type="dxa" w:w="100"/>
              <w:bottom w:type="dxa" w:w="60"/>
              <w:right w:type="dxa" w:w="100"/>
            </w:tcMar>
          </w:tcPr>
          <w:p>
            <w:pPr>
              <w:spacing w:after="40" w:before="40"/>
            </w:pPr>
            <w:r>
              <w:rPr>
                <w:b/>
                <w:bCs/>
                <w:color w:val="FFFFFF"/>
                <w:sz w:val="18"/>
                <w:szCs w:val="18"/>
              </w:rPr>
              <w:t xml:space="preserve">Bereich</w:t>
            </w:r>
          </w:p>
        </w:tc>
        <w:tc>
          <w:tcPr>
            <w:tcW w:type="dxa" w:w="900"/>
            <w:shd w:fill="1A6B4C" w:val="clear"/>
            <w:tcMar>
              <w:top w:type="dxa" w:w="60"/>
              <w:left w:type="dxa" w:w="100"/>
              <w:bottom w:type="dxa" w:w="60"/>
              <w:right w:type="dxa" w:w="100"/>
            </w:tcMar>
          </w:tcPr>
          <w:p>
            <w:pPr>
              <w:spacing w:after="40" w:before="40"/>
            </w:pPr>
            <w:r>
              <w:rPr>
                <w:b/>
                <w:bCs/>
                <w:color w:val="FFFFFF"/>
                <w:sz w:val="18"/>
                <w:szCs w:val="18"/>
              </w:rPr>
              <w:t xml:space="preserve">Punkte</w:t>
            </w:r>
          </w:p>
        </w:tc>
        <w:tc>
          <w:tcPr>
            <w:tcW w:type="dxa" w:w="5120"/>
            <w:shd w:fill="1A6B4C" w:val="clear"/>
            <w:tcMar>
              <w:top w:type="dxa" w:w="60"/>
              <w:left w:type="dxa" w:w="100"/>
              <w:bottom w:type="dxa" w:w="60"/>
              <w:right w:type="dxa" w:w="100"/>
            </w:tcMar>
          </w:tcPr>
          <w:p>
            <w:pPr>
              <w:spacing w:after="40" w:before="40"/>
            </w:pPr>
            <w:r>
              <w:rPr>
                <w:b/>
                <w:bCs/>
                <w:color w:val="FFFFFF"/>
                <w:sz w:val="18"/>
                <w:szCs w:val="18"/>
              </w:rPr>
              <w:t xml:space="preserve">Worauf es konkret ankommt</w:t>
            </w:r>
          </w:p>
        </w:tc>
      </w:tr>
      <w:tr>
        <w:tc>
          <w:tcPr>
            <w:tcW w:type="dxa" w:w="3000"/>
            <w:shd w:fill="FFFFFF" w:val="clear"/>
            <w:tcMar>
              <w:top w:type="dxa" w:w="60"/>
              <w:left w:type="dxa" w:w="100"/>
              <w:bottom w:type="dxa" w:w="60"/>
              <w:right w:type="dxa" w:w="100"/>
            </w:tcMar>
          </w:tcPr>
          <w:p>
            <w:pPr>
              <w:spacing w:after="40" w:before="40"/>
            </w:pPr>
            <w:r>
              <w:rPr>
                <w:b w:val="false"/>
                <w:bCs w:val="false"/>
                <w:color w:val="000000"/>
                <w:sz w:val="18"/>
                <w:szCs w:val="18"/>
              </w:rPr>
              <w:t xml:space="preserve">Methodik und wissenschaftliche Anwendung</w:t>
            </w:r>
          </w:p>
        </w:tc>
        <w:tc>
          <w:tcPr>
            <w:tcW w:type="dxa" w:w="900"/>
            <w:shd w:fill="FFFFFF" w:val="clear"/>
            <w:tcMar>
              <w:top w:type="dxa" w:w="60"/>
              <w:left w:type="dxa" w:w="100"/>
              <w:bottom w:type="dxa" w:w="60"/>
              <w:right w:type="dxa" w:w="100"/>
            </w:tcMar>
          </w:tcPr>
          <w:p>
            <w:pPr>
              <w:spacing w:after="40" w:before="40"/>
            </w:pPr>
            <w:r>
              <w:rPr>
                <w:b w:val="false"/>
                <w:bCs w:val="false"/>
                <w:color w:val="000000"/>
                <w:sz w:val="18"/>
                <w:szCs w:val="18"/>
              </w:rPr>
              <w:t xml:space="preserve">40</w:t>
            </w:r>
          </w:p>
        </w:tc>
        <w:tc>
          <w:tcPr>
            <w:tcW w:type="dxa" w:w="5120"/>
            <w:shd w:fill="FFFFFF" w:val="clear"/>
            <w:tcMar>
              <w:top w:type="dxa" w:w="60"/>
              <w:left w:type="dxa" w:w="100"/>
              <w:bottom w:type="dxa" w:w="60"/>
              <w:right w:type="dxa" w:w="100"/>
            </w:tcMar>
          </w:tcPr>
          <w:p>
            <w:pPr>
              <w:spacing w:after="40" w:before="40"/>
            </w:pPr>
            <w:r>
              <w:rPr>
                <w:b w:val="false"/>
                <w:bCs w:val="false"/>
                <w:color w:val="000000"/>
                <w:sz w:val="18"/>
                <w:szCs w:val="18"/>
              </w:rPr>
              <w:t xml:space="preserve">Klare Fragestellung und Abgrenzung, begründete Vorgehensweise, systematische Nutzung der Modelle aus der Vorlesung, logische Gliederung, korrekte Belege</w:t>
            </w:r>
          </w:p>
        </w:tc>
      </w:tr>
      <w:tr>
        <w:tc>
          <w:tcPr>
            <w:tcW w:type="dxa" w:w="3000"/>
            <w:shd w:fill="F2F4F3" w:val="clear"/>
            <w:tcMar>
              <w:top w:type="dxa" w:w="60"/>
              <w:left w:type="dxa" w:w="100"/>
              <w:bottom w:type="dxa" w:w="60"/>
              <w:right w:type="dxa" w:w="100"/>
            </w:tcMar>
          </w:tcPr>
          <w:p>
            <w:pPr>
              <w:spacing w:after="40" w:before="40"/>
            </w:pPr>
            <w:r>
              <w:rPr>
                <w:b w:val="false"/>
                <w:bCs w:val="false"/>
                <w:color w:val="000000"/>
                <w:sz w:val="18"/>
                <w:szCs w:val="18"/>
              </w:rPr>
              <w:t xml:space="preserve">Eigenständige Leistung</w:t>
            </w:r>
          </w:p>
        </w:tc>
        <w:tc>
          <w:tcPr>
            <w:tcW w:type="dxa" w:w="900"/>
            <w:shd w:fill="F2F4F3" w:val="clear"/>
            <w:tcMar>
              <w:top w:type="dxa" w:w="60"/>
              <w:left w:type="dxa" w:w="100"/>
              <w:bottom w:type="dxa" w:w="60"/>
              <w:right w:type="dxa" w:w="100"/>
            </w:tcMar>
          </w:tcPr>
          <w:p>
            <w:pPr>
              <w:spacing w:after="40" w:before="40"/>
            </w:pPr>
            <w:r>
              <w:rPr>
                <w:b w:val="false"/>
                <w:bCs w:val="false"/>
                <w:color w:val="000000"/>
                <w:sz w:val="18"/>
                <w:szCs w:val="18"/>
              </w:rPr>
              <w:t xml:space="preserve">30</w:t>
            </w:r>
          </w:p>
        </w:tc>
        <w:tc>
          <w:tcPr>
            <w:tcW w:type="dxa" w:w="5120"/>
            <w:shd w:fill="F2F4F3" w:val="clear"/>
            <w:tcMar>
              <w:top w:type="dxa" w:w="60"/>
              <w:left w:type="dxa" w:w="100"/>
              <w:bottom w:type="dxa" w:w="60"/>
              <w:right w:type="dxa" w:w="100"/>
            </w:tcMar>
          </w:tcPr>
          <w:p>
            <w:pPr>
              <w:spacing w:after="40" w:before="40"/>
            </w:pPr>
            <w:r>
              <w:rPr>
                <w:b w:val="false"/>
                <w:bCs w:val="false"/>
                <w:color w:val="000000"/>
                <w:sz w:val="18"/>
                <w:szCs w:val="18"/>
              </w:rPr>
              <w:t xml:space="preserve">Eigene Interpretation statt Beschreibung, Argumentationskette über alle Kapitel, eigene Ideen, Diskussion verschiedener Ansätze, </w:t>
            </w:r>
            <w:r>
              <w:rPr>
                <w:b/>
                <w:bCs/>
                <w:color w:val="000000"/>
                <w:sz w:val="18"/>
                <w:szCs w:val="18"/>
              </w:rPr>
              <w:t xml:space="preserve">kritischer Umgang mit Quellen</w:t>
            </w:r>
          </w:p>
        </w:tc>
      </w:tr>
      <w:tr>
        <w:tc>
          <w:tcPr>
            <w:tcW w:type="dxa" w:w="3000"/>
            <w:shd w:fill="FFFFFF" w:val="clear"/>
            <w:tcMar>
              <w:top w:type="dxa" w:w="60"/>
              <w:left w:type="dxa" w:w="100"/>
              <w:bottom w:type="dxa" w:w="60"/>
              <w:right w:type="dxa" w:w="100"/>
            </w:tcMar>
          </w:tcPr>
          <w:p>
            <w:pPr>
              <w:spacing w:after="40" w:before="40"/>
            </w:pPr>
            <w:r>
              <w:rPr>
                <w:b w:val="false"/>
                <w:bCs w:val="false"/>
                <w:color w:val="000000"/>
                <w:sz w:val="18"/>
                <w:szCs w:val="18"/>
              </w:rPr>
              <w:t xml:space="preserve">Individuelle Stellungnahme</w:t>
            </w:r>
          </w:p>
        </w:tc>
        <w:tc>
          <w:tcPr>
            <w:tcW w:type="dxa" w:w="900"/>
            <w:shd w:fill="FFFFFF" w:val="clear"/>
            <w:tcMar>
              <w:top w:type="dxa" w:w="60"/>
              <w:left w:type="dxa" w:w="100"/>
              <w:bottom w:type="dxa" w:w="60"/>
              <w:right w:type="dxa" w:w="100"/>
            </w:tcMar>
          </w:tcPr>
          <w:p>
            <w:pPr>
              <w:spacing w:after="40" w:before="40"/>
            </w:pPr>
            <w:r>
              <w:rPr>
                <w:b w:val="false"/>
                <w:bCs w:val="false"/>
                <w:color w:val="000000"/>
                <w:sz w:val="18"/>
                <w:szCs w:val="18"/>
              </w:rPr>
              <w:t xml:space="preserve">10</w:t>
            </w:r>
          </w:p>
        </w:tc>
        <w:tc>
          <w:tcPr>
            <w:tcW w:type="dxa" w:w="5120"/>
            <w:shd w:fill="FFFFFF" w:val="clear"/>
            <w:tcMar>
              <w:top w:type="dxa" w:w="60"/>
              <w:left w:type="dxa" w:w="100"/>
              <w:bottom w:type="dxa" w:w="60"/>
              <w:right w:type="dxa" w:w="100"/>
            </w:tcMar>
          </w:tcPr>
          <w:p>
            <w:pPr>
              <w:spacing w:after="40" w:before="40"/>
            </w:pPr>
            <w:r>
              <w:rPr>
                <w:b w:val="false"/>
                <w:bCs w:val="false"/>
                <w:color w:val="000000"/>
                <w:sz w:val="18"/>
                <w:szCs w:val="18"/>
              </w:rPr>
              <w:t xml:space="preserve">Je 300 Wörter pro Person: Thesen, Implikationen, Grenzen, Ausblick</w:t>
            </w:r>
          </w:p>
        </w:tc>
      </w:tr>
      <w:tr>
        <w:tc>
          <w:tcPr>
            <w:tcW w:type="dxa" w:w="3000"/>
            <w:shd w:fill="F2F4F3" w:val="clear"/>
            <w:tcMar>
              <w:top w:type="dxa" w:w="60"/>
              <w:left w:type="dxa" w:w="100"/>
              <w:bottom w:type="dxa" w:w="60"/>
              <w:right w:type="dxa" w:w="100"/>
            </w:tcMar>
          </w:tcPr>
          <w:p>
            <w:pPr>
              <w:spacing w:after="40" w:before="40"/>
            </w:pPr>
            <w:r>
              <w:rPr>
                <w:b w:val="false"/>
                <w:bCs w:val="false"/>
                <w:color w:val="000000"/>
                <w:sz w:val="18"/>
                <w:szCs w:val="18"/>
              </w:rPr>
              <w:t xml:space="preserve">Verständlichkeit und formale Qualität</w:t>
            </w:r>
          </w:p>
        </w:tc>
        <w:tc>
          <w:tcPr>
            <w:tcW w:type="dxa" w:w="900"/>
            <w:shd w:fill="F2F4F3" w:val="clear"/>
            <w:tcMar>
              <w:top w:type="dxa" w:w="60"/>
              <w:left w:type="dxa" w:w="100"/>
              <w:bottom w:type="dxa" w:w="60"/>
              <w:right w:type="dxa" w:w="100"/>
            </w:tcMar>
          </w:tcPr>
          <w:p>
            <w:pPr>
              <w:spacing w:after="40" w:before="40"/>
            </w:pPr>
            <w:r>
              <w:rPr>
                <w:b w:val="false"/>
                <w:bCs w:val="false"/>
                <w:color w:val="000000"/>
                <w:sz w:val="18"/>
                <w:szCs w:val="18"/>
              </w:rPr>
              <w:t xml:space="preserve">20</w:t>
            </w:r>
          </w:p>
        </w:tc>
        <w:tc>
          <w:tcPr>
            <w:tcW w:type="dxa" w:w="5120"/>
            <w:shd w:fill="F2F4F3" w:val="clear"/>
            <w:tcMar>
              <w:top w:type="dxa" w:w="60"/>
              <w:left w:type="dxa" w:w="100"/>
              <w:bottom w:type="dxa" w:w="60"/>
              <w:right w:type="dxa" w:w="100"/>
            </w:tcMar>
          </w:tcPr>
          <w:p>
            <w:pPr>
              <w:spacing w:after="40" w:before="40"/>
            </w:pPr>
            <w:r>
              <w:rPr>
                <w:b w:val="false"/>
                <w:bCs w:val="false"/>
                <w:color w:val="000000"/>
                <w:sz w:val="18"/>
                <w:szCs w:val="18"/>
              </w:rPr>
              <w:t xml:space="preserve">Sprache, Zitation, Formatierung, Einhaltung der Wortzahl</w:t>
            </w:r>
          </w:p>
        </w:tc>
      </w:tr>
    </w:tbl>
    <w:p>
      <w:pPr>
        <w:pBdr>
          <w:left w:val="single" w:color="1A6B4C" w:sz="18" w:space="8"/>
        </w:pBdr>
        <w:shd w:fill="F2F4F3" w:val="clear"/>
        <w:spacing w:after="160" w:before="120" w:line="276"/>
        <w:ind w:left="120" w:right="120"/>
      </w:pPr>
      <w:r>
        <w:rPr>
          <w:b/>
          <w:bCs/>
        </w:rPr>
        <w:t xml:space="preserve">Cut-off-Kriterium:</w:t>
      </w:r>
      <w:r>
        <w:t xml:space="preserve"> Werden in einem der drei Bewertungsbereiche weniger als 20 Prozent der Maximalpunktzahl vergeben, gilt die Leistung unabhängig vom Rest als nicht ausreichend. Der gefährlichste Bereich ist „Eigenständige Leistung“ – er fällt genau dann durch, wenn der Bericht nur beschreibt, was Spotify tut, statt es zu bewerten.</w:t>
      </w:r>
    </w:p>
    <w:p>
      <w:r>
        <w:br w:type="page"/>
      </w:r>
    </w:p>
    <w:p>
      <w:pPr>
        <w:pStyle w:val="Heading1"/>
        <w:spacing w:after="160" w:before="360"/>
      </w:pPr>
      <w:r>
        <w:t xml:space="preserve">2. Fokus und Leitfrage</w:t>
      </w:r>
    </w:p>
    <w:p>
      <w:pPr>
        <w:pStyle w:val="Heading2"/>
        <w:spacing w:after="120" w:before="280"/>
      </w:pPr>
      <w:r>
        <w:t xml:space="preserve">2.1 Warum wir den Fokus verengen müssen</w:t>
      </w:r>
    </w:p>
    <w:p>
      <w:pPr>
        <w:spacing w:after="120" w:line="276"/>
        <w:jc w:val="both"/>
      </w:pPr>
      <w:r>
        <w:t xml:space="preserve">Ausgewählt wurden vier Schwerpunkte: Freemium und Pricing, Gen Z beziehungsweise Studierende als Segment, Personalisierung als Differenzierungsmerkmal und Diversifikation über Musik hinaus. Bei 4.000 bis 6.000 Wörtern lassen sich diese vier nicht als vier gleichwertige Vertiefungen behandeln – zusammen mit den Pflichtteilen Markt, Kunden, Strategie und 4P blieben je Schwerpunkt rund 400 Wörter, also erneut Beschreibung statt Analyse. Genau das bestraft der Bewertungsbogen.</w:t>
      </w:r>
    </w:p>
    <w:p>
      <w:pPr>
        <w:spacing w:after="120" w:line="276"/>
        <w:jc w:val="both"/>
      </w:pPr>
      <w:r>
        <w:t xml:space="preserve">Der Ausweg besteht nicht darin, Schwerpunkte zu streichen, sondern sie einer gemeinsamen Leitfrage unterzuordnen. Die vier Themen sind sachlich ohnehin eine Kausalkette: Das Free-Tier erzeugt Reichweite, Personalisierung macht aus Reichweite Gewohnheit, Gewohnheit erlaubt Preiserhöhungen, und die Ausweitung auf Podcasts und Hörbücher legitimiert diese Preise inhaltlich. Die Zielgruppe der 14- bis 29-Jährigen ist der Ort, an dem diese Kette entschieden wird.</w:t>
      </w:r>
    </w:p>
    <w:p>
      <w:pPr>
        <w:pStyle w:val="Heading2"/>
        <w:spacing w:after="120" w:before="280"/>
      </w:pPr>
      <w:r>
        <w:t xml:space="preserve">2.2 Die Ausgangsbeobachtung</w:t>
      </w:r>
    </w:p>
    <w:p>
      <w:pPr>
        <w:spacing w:after="120" w:line="276"/>
        <w:jc w:val="both"/>
      </w:pPr>
      <w:r>
        <w:t xml:space="preserve">Eine wissenschaftliche Arbeit braucht eine Spannung, kein Porträt. Die Spannung liegt hier offen:</w:t>
      </w:r>
    </w:p>
    <w:p>
      <w:pPr>
        <w:pStyle w:val="ListParagraph"/>
        <w:numPr>
          <w:ilvl w:val="0"/>
          <w:numId w:val="1"/>
        </w:numPr>
        <w:spacing w:after="60" w:line="276"/>
      </w:pPr>
      <w:r>
        <w:t xml:space="preserve">Spotify ist seit der Preiserhöhung vom 14.08.2025 mit </w:t>
      </w:r>
      <w:r>
        <w:rPr>
          <w:b/>
          <w:bCs/>
        </w:rPr>
        <w:t xml:space="preserve">12,99 Euro</w:t>
      </w:r>
      <w:r>
        <w:t xml:space="preserve"> der </w:t>
      </w:r>
      <w:r>
        <w:rPr>
          <w:b/>
          <w:bCs/>
        </w:rPr>
        <w:t xml:space="preserve">teuerste</w:t>
      </w:r>
      <w:r>
        <w:t xml:space="preserve"> große Anbieter in Deutschland. Apple Music, YouTube Music und Deezer verlangen 11,99 Euro, Amazon Music Unlimited 10,99 Euro beziehungsweise 9,99 Euro mit Prime.</w:t>
      </w:r>
    </w:p>
    <w:p>
      <w:pPr>
        <w:pStyle w:val="ListParagraph"/>
        <w:numPr>
          <w:ilvl w:val="0"/>
          <w:numId w:val="1"/>
        </w:numPr>
        <w:spacing w:after="60" w:line="276"/>
      </w:pPr>
      <w:r>
        <w:t xml:space="preserve">Die durchschnittlichen monatlichen Ausgaben für Audiostreaming in Deutschland liegen bei </w:t>
      </w:r>
      <w:r>
        <w:rPr>
          <w:b/>
          <w:bCs/>
        </w:rPr>
        <w:t xml:space="preserve">11,20 Euro</w:t>
      </w:r>
      <w:r>
        <w:t xml:space="preserve">; </w:t>
      </w:r>
      <w:r>
        <w:rPr>
          <w:b/>
          <w:bCs/>
        </w:rPr>
        <w:t xml:space="preserve">44 Prozent</w:t>
      </w:r>
      <w:r>
        <w:t xml:space="preserve"> der Streamingnutzenden zahlen überhaupt nichts (Bitkom, Erhebung 2024).</w:t>
      </w:r>
    </w:p>
    <w:p>
      <w:pPr>
        <w:pStyle w:val="ListParagraph"/>
        <w:numPr>
          <w:ilvl w:val="0"/>
          <w:numId w:val="1"/>
        </w:numPr>
        <w:spacing w:after="60" w:line="276"/>
      </w:pPr>
      <w:r>
        <w:t xml:space="preserve">Der Katalog taugt nicht mehr zur Differenzierung: alle großen Anbieter führen rund 100 Millionen Titel.</w:t>
      </w:r>
    </w:p>
    <w:p>
      <w:pPr>
        <w:pStyle w:val="ListParagraph"/>
        <w:numPr>
          <w:ilvl w:val="0"/>
          <w:numId w:val="1"/>
        </w:numPr>
        <w:spacing w:after="60" w:line="276"/>
      </w:pPr>
      <w:r>
        <w:t xml:space="preserve">Spotifys globaler Anteil an bezahlten Abonnements ist von </w:t>
      </w:r>
      <w:r>
        <w:rPr>
          <w:b/>
          <w:bCs/>
        </w:rPr>
        <w:t xml:space="preserve">32,2 Prozent</w:t>
      </w:r>
      <w:r>
        <w:t xml:space="preserve"> (2024) auf </w:t>
      </w:r>
      <w:r>
        <w:rPr>
          <w:b/>
          <w:bCs/>
        </w:rPr>
        <w:t xml:space="preserve">31,4 Prozent</w:t>
      </w:r>
      <w:r>
        <w:t xml:space="preserve"> (Q4 2025) gesunken, während YouTube Music von 10,1 auf 12,4 Prozent zulegte – relativer Anteilsverlust bei absolutem Wachstum (MIDiA Research).</w:t>
      </w:r>
    </w:p>
    <w:p>
      <w:pPr>
        <w:pStyle w:val="Heading2"/>
        <w:spacing w:after="120" w:before="280"/>
      </w:pPr>
      <w:r>
        <w:t xml:space="preserve">2.3 Leitfrage und These</w:t>
      </w:r>
    </w:p>
    <w:p>
      <w:pPr>
        <w:pBdr>
          <w:left w:val="single" w:color="1A6B4C" w:sz="18" w:space="8"/>
        </w:pBdr>
        <w:shd w:fill="F2F4F3" w:val="clear"/>
        <w:spacing w:after="160" w:before="120" w:line="276"/>
        <w:ind w:left="120" w:right="120"/>
      </w:pPr>
      <w:r>
        <w:rPr>
          <w:b/>
          <w:bCs/>
        </w:rPr>
        <w:t xml:space="preserve">Leitfrage:</w:t>
      </w:r>
      <w:r>
        <w:t xml:space="preserve"> Wodurch rechtfertigt Spotify in einem Markt mit weitgehend austauschbaren Musikkatalogen einen Preisaufschlag gegenüber allen großen Wettbewerbern – und wie belastbar ist dieser Wettbewerbsvorteil?</w:t>
      </w:r>
    </w:p>
    <w:p>
      <w:pPr>
        <w:spacing w:after="120" w:line="276"/>
        <w:jc w:val="both"/>
      </w:pPr>
      <w:r>
        <w:rPr>
          <w:b/>
          <w:bCs/>
        </w:rPr>
        <w:t xml:space="preserve">Zu prüfende These:</w:t>
      </w:r>
      <w:r>
        <w:t xml:space="preserve"> Der Preisaufschlag ist nicht durch den Musikkatalog gedeckt, sondern ausschließlich durch zwei Leistungen, die Wettbewerber kurzfristig nicht kopieren können: die auf individueller Hörhistorie beruhende Personalisierung und die Ausweitung des Angebots von Musik auf Podcasts, Hörbücher und Video. Geprüft wird die These an den drei Kriterien, die Meffert et al. an einen Wettbewerbsvorteil anlegen: Er muss ein wichtiges Kaufkriterium betreffen, für den Kunden wahrnehmbar und dauerhaft sowie effizient gegenüber der Konkurrenz zu verteidigen sein.</w:t>
      </w:r>
    </w:p>
    <w:p>
      <w:pPr>
        <w:spacing w:after="120" w:line="276"/>
        <w:jc w:val="both"/>
      </w:pPr>
      <w:r>
        <w:t xml:space="preserve">Diese Konstruktion erfüllt drei Anforderungen des Bewertungsbogens gleichzeitig: Sie liefert eine ergebnisoffene Fragestellung, sie erzwingt ein Urteil statt einer Beschreibung, und sie verknüpft die Kapitel zu einem übergeordneten Narrativ.</w:t>
      </w:r>
    </w:p>
    <w:p>
      <w:pPr>
        <w:pStyle w:val="Heading2"/>
        <w:spacing w:after="120" w:before="280"/>
      </w:pPr>
      <w:r>
        <w:t xml:space="preserve">2.4 Tiefenstaffelung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0"/>
      </w:tblGrid>
      <w:tr>
        <w:trPr>
          <w:tblHeader/>
        </w:trPr>
        <w:tc>
          <w:tcPr>
            <w:tcW w:type="dxa" w:w="2600"/>
            <w:shd w:fill="1A6B4C" w:val="clear"/>
            <w:tcMar>
              <w:top w:type="dxa" w:w="60"/>
              <w:left w:type="dxa" w:w="100"/>
              <w:bottom w:type="dxa" w:w="60"/>
              <w:right w:type="dxa" w:w="100"/>
            </w:tcMar>
          </w:tcPr>
          <w:p>
            <w:pPr>
              <w:spacing w:after="40" w:before="40"/>
            </w:pPr>
            <w:r>
              <w:rPr>
                <w:b/>
                <w:bCs/>
                <w:color w:val="FFFFFF"/>
                <w:sz w:val="18"/>
                <w:szCs w:val="18"/>
              </w:rPr>
              <w:t xml:space="preserve">Aspekt</w:t>
            </w:r>
          </w:p>
        </w:tc>
        <w:tc>
          <w:tcPr>
            <w:tcW w:type="dxa" w:w="1400"/>
            <w:shd w:fill="1A6B4C" w:val="clear"/>
            <w:tcMar>
              <w:top w:type="dxa" w:w="60"/>
              <w:left w:type="dxa" w:w="100"/>
              <w:bottom w:type="dxa" w:w="60"/>
              <w:right w:type="dxa" w:w="100"/>
            </w:tcMar>
          </w:tcPr>
          <w:p>
            <w:pPr>
              <w:spacing w:after="40" w:before="40"/>
            </w:pPr>
            <w:r>
              <w:rPr>
                <w:b/>
                <w:bCs/>
                <w:color w:val="FFFFFF"/>
                <w:sz w:val="18"/>
                <w:szCs w:val="18"/>
              </w:rPr>
              <w:t xml:space="preserve">Tiefe</w:t>
            </w:r>
          </w:p>
        </w:tc>
        <w:tc>
          <w:tcPr>
            <w:tcW w:type="dxa" w:w="5020"/>
            <w:shd w:fill="1A6B4C" w:val="clear"/>
            <w:tcMar>
              <w:top w:type="dxa" w:w="60"/>
              <w:left w:type="dxa" w:w="100"/>
              <w:bottom w:type="dxa" w:w="60"/>
              <w:right w:type="dxa" w:w="100"/>
            </w:tcMar>
          </w:tcPr>
          <w:p>
            <w:pPr>
              <w:spacing w:after="40" w:before="40"/>
            </w:pPr>
            <w:r>
              <w:rPr>
                <w:b/>
                <w:bCs/>
                <w:color w:val="FFFFFF"/>
                <w:sz w:val="18"/>
                <w:szCs w:val="18"/>
              </w:rPr>
              <w:t xml:space="preserve">Begründung</w:t>
            </w:r>
          </w:p>
        </w:tc>
      </w:tr>
      <w:tr>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Preispolitik / Freemium</w:t>
            </w:r>
          </w:p>
        </w:tc>
        <w:tc>
          <w:tcPr>
            <w:tcW w:type="dxa" w:w="1400"/>
            <w:shd w:fill="FFFFFF" w:val="clear"/>
            <w:tcMar>
              <w:top w:type="dxa" w:w="60"/>
              <w:left w:type="dxa" w:w="100"/>
              <w:bottom w:type="dxa" w:w="60"/>
              <w:right w:type="dxa" w:w="100"/>
            </w:tcMar>
          </w:tcPr>
          <w:p>
            <w:pPr>
              <w:spacing w:after="40" w:before="40"/>
            </w:pPr>
            <w:r>
              <w:rPr>
                <w:b/>
                <w:bCs/>
                <w:color w:val="000000"/>
                <w:sz w:val="18"/>
                <w:szCs w:val="18"/>
              </w:rPr>
              <w:t xml:space="preserve">Vertiefung</w:t>
            </w:r>
          </w:p>
        </w:tc>
        <w:tc>
          <w:tcPr>
            <w:tcW w:type="dxa" w:w="5020"/>
            <w:shd w:fill="FFFFFF" w:val="clear"/>
            <w:tcMar>
              <w:top w:type="dxa" w:w="60"/>
              <w:left w:type="dxa" w:w="100"/>
              <w:bottom w:type="dxa" w:w="60"/>
              <w:right w:type="dxa" w:w="100"/>
            </w:tcMar>
          </w:tcPr>
          <w:p>
            <w:pPr>
              <w:spacing w:after="40" w:before="40"/>
            </w:pPr>
            <w:r>
              <w:rPr>
                <w:b w:val="false"/>
                <w:bCs w:val="false"/>
                <w:color w:val="000000"/>
                <w:sz w:val="18"/>
                <w:szCs w:val="18"/>
              </w:rPr>
              <w:t xml:space="preserve">Datenreichster Bereich: Preisrunden 2025/2026, ARPU-Zeitreihe, Preisdifferenzierung nach Lebensphase, Referenzpreis und Preisschwellen. Erlaubt echte Rechnungen (Preiselastizität).</w:t>
            </w:r>
          </w:p>
        </w:tc>
      </w:tr>
      <w:tr>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Zielgruppe 14–29 / Studierende</w:t>
            </w:r>
          </w:p>
        </w:tc>
        <w:tc>
          <w:tcPr>
            <w:tcW w:type="dxa" w:w="1400"/>
            <w:shd w:fill="F2F4F3" w:val="clear"/>
            <w:tcMar>
              <w:top w:type="dxa" w:w="60"/>
              <w:left w:type="dxa" w:w="100"/>
              <w:bottom w:type="dxa" w:w="60"/>
              <w:right w:type="dxa" w:w="100"/>
            </w:tcMar>
          </w:tcPr>
          <w:p>
            <w:pPr>
              <w:spacing w:after="40" w:before="40"/>
            </w:pPr>
            <w:r>
              <w:rPr>
                <w:b/>
                <w:bCs/>
                <w:color w:val="000000"/>
                <w:sz w:val="18"/>
                <w:szCs w:val="18"/>
              </w:rPr>
              <w:t xml:space="preserve">Vertiefung</w:t>
            </w:r>
          </w:p>
        </w:tc>
        <w:tc>
          <w:tcPr>
            <w:tcW w:type="dxa" w:w="5020"/>
            <w:shd w:fill="F2F4F3" w:val="clear"/>
            <w:tcMar>
              <w:top w:type="dxa" w:w="60"/>
              <w:left w:type="dxa" w:w="100"/>
              <w:bottom w:type="dxa" w:w="60"/>
              <w:right w:type="dxa" w:w="100"/>
            </w:tcMar>
          </w:tcPr>
          <w:p>
            <w:pPr>
              <w:spacing w:after="40" w:before="40"/>
            </w:pPr>
            <w:r>
              <w:rPr>
                <w:b w:val="false"/>
                <w:bCs w:val="false"/>
                <w:color w:val="000000"/>
                <w:sz w:val="18"/>
                <w:szCs w:val="18"/>
              </w:rPr>
              <w:t xml:space="preserve">Kernsegment mit belastbarer deutscher Datenlage (ARD/ZDF, Bitkom). Ort einer eigenen Erhebung – zählt im Kriterium „Qualität der eigenen empirischen Forschung“.</w:t>
            </w:r>
          </w:p>
        </w:tc>
      </w:tr>
      <w:tr>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Personalisierung</w:t>
            </w:r>
          </w:p>
        </w:tc>
        <w:tc>
          <w:tcPr>
            <w:tcW w:type="dxa" w:w="1400"/>
            <w:shd w:fill="FFFFFF" w:val="clear"/>
            <w:tcMar>
              <w:top w:type="dxa" w:w="60"/>
              <w:left w:type="dxa" w:w="100"/>
              <w:bottom w:type="dxa" w:w="60"/>
              <w:right w:type="dxa" w:w="100"/>
            </w:tcMar>
          </w:tcPr>
          <w:p>
            <w:pPr>
              <w:spacing w:after="40" w:before="40"/>
            </w:pPr>
            <w:r>
              <w:rPr>
                <w:b w:val="false"/>
                <w:bCs w:val="false"/>
                <w:color w:val="000000"/>
                <w:sz w:val="18"/>
                <w:szCs w:val="18"/>
              </w:rPr>
              <w:t xml:space="preserve">mittel</w:t>
            </w:r>
          </w:p>
        </w:tc>
        <w:tc>
          <w:tcPr>
            <w:tcW w:type="dxa" w:w="5020"/>
            <w:shd w:fill="FFFFFF" w:val="clear"/>
            <w:tcMar>
              <w:top w:type="dxa" w:w="60"/>
              <w:left w:type="dxa" w:w="100"/>
              <w:bottom w:type="dxa" w:w="60"/>
              <w:right w:type="dxa" w:w="100"/>
            </w:tcMar>
          </w:tcPr>
          <w:p>
            <w:pPr>
              <w:spacing w:after="40" w:before="40"/>
            </w:pPr>
            <w:r>
              <w:rPr>
                <w:b w:val="false"/>
                <w:bCs w:val="false"/>
                <w:color w:val="000000"/>
                <w:sz w:val="18"/>
                <w:szCs w:val="18"/>
              </w:rPr>
              <w:t xml:space="preserve">Trägt die These, aber die harte Datenlage ist dünn (Unternehmensangaben). Wird als Produktbestandteil und als Quelle von Wechselkosten behandelt.</w:t>
            </w:r>
          </w:p>
        </w:tc>
      </w:tr>
      <w:tr>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Diversifikation (Podcast, Hörbuch)</w:t>
            </w:r>
          </w:p>
        </w:tc>
        <w:tc>
          <w:tcPr>
            <w:tcW w:type="dxa" w:w="1400"/>
            <w:shd w:fill="F2F4F3" w:val="clear"/>
            <w:tcMar>
              <w:top w:type="dxa" w:w="60"/>
              <w:left w:type="dxa" w:w="100"/>
              <w:bottom w:type="dxa" w:w="60"/>
              <w:right w:type="dxa" w:w="100"/>
            </w:tcMar>
          </w:tcPr>
          <w:p>
            <w:pPr>
              <w:spacing w:after="40" w:before="40"/>
            </w:pPr>
            <w:r>
              <w:rPr>
                <w:b w:val="false"/>
                <w:bCs w:val="false"/>
                <w:color w:val="000000"/>
                <w:sz w:val="18"/>
                <w:szCs w:val="18"/>
              </w:rPr>
              <w:t xml:space="preserve">mittel</w:t>
            </w:r>
          </w:p>
        </w:tc>
        <w:tc>
          <w:tcPr>
            <w:tcW w:type="dxa" w:w="5020"/>
            <w:shd w:fill="F2F4F3" w:val="clear"/>
            <w:tcMar>
              <w:top w:type="dxa" w:w="60"/>
              <w:left w:type="dxa" w:w="100"/>
              <w:bottom w:type="dxa" w:w="60"/>
              <w:right w:type="dxa" w:w="100"/>
            </w:tcMar>
          </w:tcPr>
          <w:p>
            <w:pPr>
              <w:spacing w:after="40" w:before="40"/>
            </w:pPr>
            <w:r>
              <w:rPr>
                <w:b w:val="false"/>
                <w:bCs w:val="false"/>
                <w:color w:val="000000"/>
                <w:sz w:val="18"/>
                <w:szCs w:val="18"/>
              </w:rPr>
              <w:t xml:space="preserve">Belegt über Produktprogrammbreite und -tiefe sowie Diversifikationsarten nach Homburg; deutscher Marktbezug über Hörbuchstart DACH 04/2025.</w:t>
            </w:r>
          </w:p>
        </w:tc>
      </w:tr>
      <w:tr>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Markt, Konsumentenverhalten, Kommunikation, Vertrieb, Sustainable Marketing</w:t>
            </w:r>
          </w:p>
        </w:tc>
        <w:tc>
          <w:tcPr>
            <w:tcW w:type="dxa" w:w="1400"/>
            <w:shd w:fill="FFFFFF" w:val="clear"/>
            <w:tcMar>
              <w:top w:type="dxa" w:w="60"/>
              <w:left w:type="dxa" w:w="100"/>
              <w:bottom w:type="dxa" w:w="60"/>
              <w:right w:type="dxa" w:w="100"/>
            </w:tcMar>
          </w:tcPr>
          <w:p>
            <w:pPr>
              <w:spacing w:after="40" w:before="40"/>
            </w:pPr>
            <w:r>
              <w:rPr>
                <w:b w:val="false"/>
                <w:bCs w:val="false"/>
                <w:color w:val="000000"/>
                <w:sz w:val="18"/>
                <w:szCs w:val="18"/>
              </w:rPr>
              <w:t xml:space="preserve">Grundabdeckung</w:t>
            </w:r>
          </w:p>
        </w:tc>
        <w:tc>
          <w:tcPr>
            <w:tcW w:type="dxa" w:w="5020"/>
            <w:shd w:fill="FFFFFF" w:val="clear"/>
            <w:tcMar>
              <w:top w:type="dxa" w:w="60"/>
              <w:left w:type="dxa" w:w="100"/>
              <w:bottom w:type="dxa" w:w="60"/>
              <w:right w:type="dxa" w:w="100"/>
            </w:tcMar>
          </w:tcPr>
          <w:p>
            <w:pPr>
              <w:spacing w:after="40" w:before="40"/>
            </w:pPr>
            <w:r>
              <w:rPr>
                <w:b w:val="false"/>
                <w:bCs w:val="false"/>
                <w:color w:val="000000"/>
                <w:sz w:val="18"/>
                <w:szCs w:val="18"/>
              </w:rPr>
              <w:t xml:space="preserve">Vom Leitfaden verlangt („alle Hauptaspekte zumindest grob“). Jeweils knapp, aber mit Modellbezug und eigener Einordnung.</w:t>
            </w:r>
          </w:p>
        </w:tc>
      </w:tr>
    </w:tbl>
    <w:p>
      <w:pPr>
        <w:pBdr>
          <w:left w:val="single" w:color="1A6B4C" w:sz="18" w:space="8"/>
        </w:pBdr>
        <w:shd w:fill="F2F4F3" w:val="clear"/>
        <w:spacing w:after="160" w:before="120" w:line="276"/>
        <w:ind w:left="120" w:right="120"/>
      </w:pPr>
      <w:r>
        <w:rPr>
          <w:b/>
          <w:bCs/>
        </w:rPr>
        <w:t xml:space="preserve">Vor der Umsetzung abstimmen.</w:t>
      </w:r>
      <w:r>
        <w:t xml:space="preserve"> Der Leitfaden erlaubt inhaltliche Schwerpunkte ausdrücklich nur „in Absprache mit den Dozent_innen“. Die Leitfrage sollte deshalb am Dienstag mit Prof. Hölter besprochen und die Zustimmung notiert werden.</w:t>
      </w:r>
    </w:p>
    <w:p>
      <w:r>
        <w:br w:type="page"/>
      </w:r>
    </w:p>
    <w:p>
      <w:pPr>
        <w:pStyle w:val="Heading1"/>
        <w:spacing w:after="160" w:before="360"/>
      </w:pPr>
      <w:r>
        <w:t xml:space="preserve">3. Gliederung mit Wortbudget</w:t>
      </w:r>
    </w:p>
    <w:p>
      <w:pPr>
        <w:spacing w:after="120" w:line="276"/>
        <w:jc w:val="both"/>
      </w:pPr>
      <w:r>
        <w:t xml:space="preserve">Die Überschriften sind bewusst inhaltlich formuliert und nicht als Modellnamen. Der Bewertungsbogen verlangt „Verständlichkeit, Aussagekraft und Prägnanz der Überschriften“ – „Preispolitik“ erfüllt das nicht, „Preisdifferenzierung als Konversionsinstrument“ schon.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4620"/>
        <w:gridCol w:w="1000"/>
      </w:tblGrid>
      <w:tr>
        <w:trPr>
          <w:tblHeader/>
        </w:trPr>
        <w:tc>
          <w:tcPr>
            <w:tcW w:type="dxa" w:w="3400"/>
            <w:shd w:fill="1A6B4C" w:val="clear"/>
            <w:tcMar>
              <w:top w:type="dxa" w:w="60"/>
              <w:left w:type="dxa" w:w="100"/>
              <w:bottom w:type="dxa" w:w="60"/>
              <w:right w:type="dxa" w:w="100"/>
            </w:tcMar>
          </w:tcPr>
          <w:p>
            <w:pPr>
              <w:spacing w:after="40" w:before="40"/>
            </w:pPr>
            <w:r>
              <w:rPr>
                <w:b/>
                <w:bCs/>
                <w:color w:val="FFFFFF"/>
                <w:sz w:val="18"/>
                <w:szCs w:val="18"/>
              </w:rPr>
              <w:t xml:space="preserve">Kapitel</w:t>
            </w:r>
          </w:p>
        </w:tc>
        <w:tc>
          <w:tcPr>
            <w:tcW w:type="dxa" w:w="4620"/>
            <w:shd w:fill="1A6B4C" w:val="clear"/>
            <w:tcMar>
              <w:top w:type="dxa" w:w="60"/>
              <w:left w:type="dxa" w:w="100"/>
              <w:bottom w:type="dxa" w:w="60"/>
              <w:right w:type="dxa" w:w="100"/>
            </w:tcMar>
          </w:tcPr>
          <w:p>
            <w:pPr>
              <w:spacing w:after="40" w:before="40"/>
            </w:pPr>
            <w:r>
              <w:rPr>
                <w:b/>
                <w:bCs/>
                <w:color w:val="FFFFFF"/>
                <w:sz w:val="18"/>
                <w:szCs w:val="18"/>
              </w:rPr>
              <w:t xml:space="preserve">Inhalt und Methode</w:t>
            </w:r>
          </w:p>
        </w:tc>
        <w:tc>
          <w:tcPr>
            <w:tcW w:type="dxa" w:w="1000"/>
            <w:shd w:fill="1A6B4C" w:val="clear"/>
            <w:tcMar>
              <w:top w:type="dxa" w:w="60"/>
              <w:left w:type="dxa" w:w="100"/>
              <w:bottom w:type="dxa" w:w="60"/>
              <w:right w:type="dxa" w:w="100"/>
            </w:tcMar>
          </w:tcPr>
          <w:p>
            <w:pPr>
              <w:spacing w:after="40" w:before="40"/>
            </w:pPr>
            <w:r>
              <w:rPr>
                <w:b/>
                <w:bCs/>
                <w:color w:val="FFFFFF"/>
                <w:sz w:val="18"/>
                <w:szCs w:val="18"/>
              </w:rPr>
              <w:t xml:space="preserve">Wörter</w:t>
            </w:r>
          </w:p>
        </w:tc>
      </w:tr>
      <w:tr>
        <w:tc>
          <w:tcPr>
            <w:tcW w:type="dxa" w:w="3400"/>
            <w:shd w:fill="FFFFFF" w:val="clear"/>
            <w:tcMar>
              <w:top w:type="dxa" w:w="60"/>
              <w:left w:type="dxa" w:w="100"/>
              <w:bottom w:type="dxa" w:w="60"/>
              <w:right w:type="dxa" w:w="100"/>
            </w:tcMar>
          </w:tcPr>
          <w:p>
            <w:pPr>
              <w:spacing w:after="40" w:before="40"/>
            </w:pPr>
            <w:r>
              <w:rPr>
                <w:b/>
                <w:bCs/>
                <w:color w:val="000000"/>
                <w:sz w:val="18"/>
                <w:szCs w:val="18"/>
              </w:rPr>
              <w:t xml:space="preserve">1 Einleitung</w:t>
            </w:r>
          </w:p>
        </w:tc>
        <w:tc>
          <w:tcPr>
            <w:tcW w:type="dxa" w:w="4620"/>
            <w:shd w:fill="FFFFFF" w:val="clear"/>
            <w:tcMar>
              <w:top w:type="dxa" w:w="60"/>
              <w:left w:type="dxa" w:w="100"/>
              <w:bottom w:type="dxa" w:w="60"/>
              <w:right w:type="dxa" w:w="100"/>
            </w:tcMar>
          </w:tcPr>
          <w:p>
            <w:pPr>
              <w:spacing w:after="40" w:before="40"/>
            </w:pPr>
          </w:p>
        </w:tc>
        <w:tc>
          <w:tcPr>
            <w:tcW w:type="dxa" w:w="1000"/>
            <w:shd w:fill="FFFFFF" w:val="clear"/>
            <w:tcMar>
              <w:top w:type="dxa" w:w="60"/>
              <w:left w:type="dxa" w:w="100"/>
              <w:bottom w:type="dxa" w:w="60"/>
              <w:right w:type="dxa" w:w="100"/>
            </w:tcMar>
          </w:tcPr>
          <w:p>
            <w:pPr>
              <w:spacing w:after="40" w:before="40"/>
            </w:pPr>
            <w:r>
              <w:rPr>
                <w:b/>
                <w:bCs/>
                <w:color w:val="000000"/>
                <w:sz w:val="18"/>
                <w:szCs w:val="18"/>
              </w:rPr>
              <w:t xml:space="preserve">400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1.1 Ein Preisaufschlag ohne Katalogvorteil</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Relevanz: Marktwachstum, Preisrunden 2025/2026, Anteilsverschiebung. Praktisches Problem, aus dem die Frage entsteht</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150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1.2 Zielsetzung, Leitfrage und Abgrenzung</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Leitfrage, These, was die Arbeit nicht leistet (kein Finanzmodell, kein B2B-Werbegeschäft im Detail)</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150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1.3 Vorgehen und Datengrundlage</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Aufbau entlang des Marketing-Management-Prozesses nach Kotler/Armstrong; Sekundärdaten plus eigene Erhebung; Begründung der Methodenwahl</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100</w:t>
            </w:r>
          </w:p>
        </w:tc>
      </w:tr>
      <w:tr>
        <w:tc>
          <w:tcPr>
            <w:tcW w:type="dxa" w:w="3400"/>
            <w:shd w:fill="FFFFFF" w:val="clear"/>
            <w:tcMar>
              <w:top w:type="dxa" w:w="60"/>
              <w:left w:type="dxa" w:w="100"/>
              <w:bottom w:type="dxa" w:w="60"/>
              <w:right w:type="dxa" w:w="100"/>
            </w:tcMar>
          </w:tcPr>
          <w:p>
            <w:pPr>
              <w:spacing w:after="40" w:before="40"/>
            </w:pPr>
            <w:r>
              <w:rPr>
                <w:b/>
                <w:bCs/>
                <w:color w:val="000000"/>
                <w:sz w:val="18"/>
                <w:szCs w:val="18"/>
              </w:rPr>
              <w:t xml:space="preserve">2 Der relevante Markt und seine Kunden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Schritt 1 des Marketingprozesses</w:t>
            </w:r>
          </w:p>
        </w:tc>
        <w:tc>
          <w:tcPr>
            <w:tcW w:type="dxa" w:w="1000"/>
            <w:shd w:fill="FFFFFF" w:val="clear"/>
            <w:tcMar>
              <w:top w:type="dxa" w:w="60"/>
              <w:left w:type="dxa" w:w="100"/>
              <w:bottom w:type="dxa" w:w="60"/>
              <w:right w:type="dxa" w:w="100"/>
            </w:tcMar>
          </w:tcPr>
          <w:p>
            <w:pPr>
              <w:spacing w:after="40" w:before="40"/>
            </w:pPr>
            <w:r>
              <w:rPr>
                <w:b/>
                <w:bCs/>
                <w:color w:val="000000"/>
                <w:sz w:val="18"/>
                <w:szCs w:val="18"/>
              </w:rPr>
              <w:t xml:space="preserve">1.200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2.1 Vom Musik- zum Audio-Unterhaltungsmarkt</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Marktabgrenzung nach Unternehmen, Produkten, Käufern und Bedürfnissen (Meffert et al.); Begründung der bedürfnisorientierten Abgrenzung; Markttypologie</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300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2.2 Marktpotenzial, Marktvolumen und Marktausschöpfung</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Schlüsselgrößen nach Meffert et al.; eigene Schätzung für Deutschland nach der Formel von Kotler et al.; Marktanteil Spotify</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350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2.3 Ein enges Oligopol mit austauschbaren Katalogen</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Anbieter, Preise, Marktanteile, Anteilsverschiebung 2024→2025; Zweiseitigkeit des Marktes (Hörer, Werbekunden, Rechteinhaber)</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250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2.4 Gewohnheit statt Abwägung: das Kaufverhalten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SOR-Modell; Einordnung in die vier Typen des Kaufverhaltens; Fünf-Stufen-Kaufprozess angewandt auf den Wechsel Free → Premium; Customer Journey und Touchpoints</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300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2.5 Eigene Befragung zur Zahlungsbereitschaft [optional]</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Methode, Stichprobe, zentrale Ergebnisse; Fragebogen und Rohdaten in den Anhang</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0–300</w:t>
            </w:r>
          </w:p>
        </w:tc>
      </w:tr>
      <w:tr>
        <w:tc>
          <w:tcPr>
            <w:tcW w:type="dxa" w:w="3400"/>
            <w:shd w:fill="FFFFFF" w:val="clear"/>
            <w:tcMar>
              <w:top w:type="dxa" w:w="60"/>
              <w:left w:type="dxa" w:w="100"/>
              <w:bottom w:type="dxa" w:w="60"/>
              <w:right w:type="dxa" w:w="100"/>
            </w:tcMar>
          </w:tcPr>
          <w:p>
            <w:pPr>
              <w:spacing w:after="40" w:before="40"/>
            </w:pPr>
            <w:r>
              <w:rPr>
                <w:b/>
                <w:bCs/>
                <w:color w:val="000000"/>
                <w:sz w:val="18"/>
                <w:szCs w:val="18"/>
              </w:rPr>
              <w:t xml:space="preserve">3 Die kundenorientierte Marketingstrategie</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Schritt 2 des Marketingprozesses</w:t>
            </w:r>
          </w:p>
        </w:tc>
        <w:tc>
          <w:tcPr>
            <w:tcW w:type="dxa" w:w="1000"/>
            <w:shd w:fill="FFFFFF" w:val="clear"/>
            <w:tcMar>
              <w:top w:type="dxa" w:w="60"/>
              <w:left w:type="dxa" w:w="100"/>
              <w:bottom w:type="dxa" w:w="60"/>
              <w:right w:type="dxa" w:w="100"/>
            </w:tcMar>
          </w:tcPr>
          <w:p>
            <w:pPr>
              <w:spacing w:after="40" w:before="40"/>
            </w:pPr>
            <w:r>
              <w:rPr>
                <w:b/>
                <w:bCs/>
                <w:color w:val="000000"/>
                <w:sz w:val="18"/>
                <w:szCs w:val="18"/>
              </w:rPr>
              <w:t xml:space="preserve">1.000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3.1 Lebensphase und Nutzungsintensität als tragende Segmentierungsvariablen</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Vier Variablengruppen nach Kotler/Armstrong, angewandt; Prüfung an den Anforderungen an brauchbare Segmente</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350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3.2 Differenziertes Marketing mit Micromarketing-Kern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Einordnung in die vier Targeting-Strategien; Argument: differenzierte Tarife bei einheitlichem Produktkern, individualisiert auf Inhaltsebene</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300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3.3 Positionierung als persönlichster Audiodienst</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Positionierung nach Kotler/Armstrong; Wettbewerbsstrategie nach Porter; Branding Framework auf die Marke Spotify angewandt</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350</w:t>
            </w:r>
          </w:p>
        </w:tc>
      </w:tr>
      <w:tr>
        <w:tc>
          <w:tcPr>
            <w:tcW w:type="dxa" w:w="3400"/>
            <w:shd w:fill="FFFFFF" w:val="clear"/>
            <w:tcMar>
              <w:top w:type="dxa" w:w="60"/>
              <w:left w:type="dxa" w:w="100"/>
              <w:bottom w:type="dxa" w:w="60"/>
              <w:right w:type="dxa" w:w="100"/>
            </w:tcMar>
          </w:tcPr>
          <w:p>
            <w:pPr>
              <w:spacing w:after="40" w:before="40"/>
            </w:pPr>
            <w:r>
              <w:rPr>
                <w:b/>
                <w:bCs/>
                <w:color w:val="000000"/>
                <w:sz w:val="18"/>
                <w:szCs w:val="18"/>
              </w:rPr>
              <w:t xml:space="preserve">4 Das Marketingprogramm</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Schritt 3 des Marketingprozesses</w:t>
            </w:r>
          </w:p>
        </w:tc>
        <w:tc>
          <w:tcPr>
            <w:tcW w:type="dxa" w:w="1000"/>
            <w:shd w:fill="FFFFFF" w:val="clear"/>
            <w:tcMar>
              <w:top w:type="dxa" w:w="60"/>
              <w:left w:type="dxa" w:w="100"/>
              <w:bottom w:type="dxa" w:w="60"/>
              <w:right w:type="dxa" w:w="100"/>
            </w:tcMar>
          </w:tcPr>
          <w:p>
            <w:pPr>
              <w:spacing w:after="40" w:before="40"/>
            </w:pPr>
            <w:r>
              <w:rPr>
                <w:b/>
                <w:bCs/>
                <w:color w:val="000000"/>
                <w:sz w:val="18"/>
                <w:szCs w:val="18"/>
              </w:rPr>
              <w:t xml:space="preserve">1.900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4.1 Personalisierung als Produktkern, Hörbuch und Podcast als Programmerweiterung</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Sechs Ebenen des Produktnutzens (Homburg); Programmbreite und -tiefe; horizontale und laterale Diversifikation; Produktlebenszyklus</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550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4.2 Preisdifferenzierung als Konversions- und Ertragsinstrument [Vertiefung]</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Formen der Preisdifferenzierung (Meffert et al.); Preis-Absatz-Funktion und Preiselastizität; verhaltensorientierte Preisbildung: Referenzpreis, Preisschwellen, preisabhängige Qualitätsbeurteilung</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750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4.3 Nutzergenerierte Reichweite am Beispiel Wrapped</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Kommunikationsziele; zweistufiger Kommunikationsfluss und Pull-Strategie; Hierarchy-of-Effects; Online-KPIs zur Erfolgsmessung</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350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4.4 Direktvertrieb in Abhängigkeit fremder Plattformen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Direkter versus indirekter Vertrieb; Kanalbreite; Omni-Channel; App-Store-Provisionen als strukturelle Abhängigkeit</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250</w:t>
            </w:r>
          </w:p>
        </w:tc>
      </w:tr>
      <w:tr>
        <w:tc>
          <w:tcPr>
            <w:tcW w:type="dxa" w:w="3400"/>
            <w:shd w:fill="F2F4F3" w:val="clear"/>
            <w:tcMar>
              <w:top w:type="dxa" w:w="60"/>
              <w:left w:type="dxa" w:w="100"/>
              <w:bottom w:type="dxa" w:w="60"/>
              <w:right w:type="dxa" w:w="100"/>
            </w:tcMar>
          </w:tcPr>
          <w:p>
            <w:pPr>
              <w:spacing w:after="40" w:before="40"/>
            </w:pPr>
            <w:r>
              <w:rPr>
                <w:b/>
                <w:bCs/>
                <w:color w:val="000000"/>
                <w:sz w:val="18"/>
                <w:szCs w:val="18"/>
              </w:rPr>
              <w:t xml:space="preserve">5 Kundenbindung und Wertabschöpfung</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Schritte 4 und 5 des Marketingprozesses</w:t>
            </w:r>
          </w:p>
        </w:tc>
        <w:tc>
          <w:tcPr>
            <w:tcW w:type="dxa" w:w="1000"/>
            <w:shd w:fill="F2F4F3" w:val="clear"/>
            <w:tcMar>
              <w:top w:type="dxa" w:w="60"/>
              <w:left w:type="dxa" w:w="100"/>
              <w:bottom w:type="dxa" w:w="60"/>
              <w:right w:type="dxa" w:w="100"/>
            </w:tcMar>
          </w:tcPr>
          <w:p>
            <w:pPr>
              <w:spacing w:after="40" w:before="40"/>
            </w:pPr>
            <w:r>
              <w:rPr>
                <w:b/>
                <w:bCs/>
                <w:color w:val="000000"/>
                <w:sz w:val="18"/>
                <w:szCs w:val="18"/>
              </w:rPr>
              <w:t xml:space="preserve">600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5.1 Wechselkosten aus Daten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Warum Personalisierung Bindung erzeugt; Grenzen des Arguments</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300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5.2 ARPU als Gradmesser der Preisstrategie</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ARPU-Zeitreihe, Return on Marketing Investment, Ertragsstruktur Premium versus Werbung</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300</w:t>
            </w:r>
          </w:p>
        </w:tc>
      </w:tr>
      <w:tr>
        <w:tc>
          <w:tcPr>
            <w:tcW w:type="dxa" w:w="3400"/>
            <w:shd w:fill="FFFFFF" w:val="clear"/>
            <w:tcMar>
              <w:top w:type="dxa" w:w="60"/>
              <w:left w:type="dxa" w:w="100"/>
              <w:bottom w:type="dxa" w:w="60"/>
              <w:right w:type="dxa" w:w="100"/>
            </w:tcMar>
          </w:tcPr>
          <w:p>
            <w:pPr>
              <w:spacing w:after="40" w:before="40"/>
            </w:pPr>
            <w:r>
              <w:rPr>
                <w:b/>
                <w:bCs/>
                <w:color w:val="000000"/>
                <w:sz w:val="18"/>
                <w:szCs w:val="18"/>
              </w:rPr>
              <w:t xml:space="preserve">6 Kritische Würdigung und Handlungsempfehlungen</w:t>
            </w:r>
          </w:p>
        </w:tc>
        <w:tc>
          <w:tcPr>
            <w:tcW w:type="dxa" w:w="4620"/>
            <w:shd w:fill="FFFFFF" w:val="clear"/>
            <w:tcMar>
              <w:top w:type="dxa" w:w="60"/>
              <w:left w:type="dxa" w:w="100"/>
              <w:bottom w:type="dxa" w:w="60"/>
              <w:right w:type="dxa" w:w="100"/>
            </w:tcMar>
          </w:tcPr>
          <w:p>
            <w:pPr>
              <w:spacing w:after="40" w:before="40"/>
            </w:pPr>
          </w:p>
        </w:tc>
        <w:tc>
          <w:tcPr>
            <w:tcW w:type="dxa" w:w="1000"/>
            <w:shd w:fill="FFFFFF" w:val="clear"/>
            <w:tcMar>
              <w:top w:type="dxa" w:w="60"/>
              <w:left w:type="dxa" w:w="100"/>
              <w:bottom w:type="dxa" w:w="60"/>
              <w:right w:type="dxa" w:w="100"/>
            </w:tcMar>
          </w:tcPr>
          <w:p>
            <w:pPr>
              <w:spacing w:after="40" w:before="40"/>
            </w:pPr>
            <w:r>
              <w:rPr>
                <w:b/>
                <w:bCs/>
                <w:color w:val="000000"/>
                <w:sz w:val="18"/>
                <w:szCs w:val="18"/>
              </w:rPr>
              <w:t xml:space="preserve">400</w:t>
            </w:r>
          </w:p>
        </w:tc>
      </w:tr>
      <w:tr>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6.1 Wie tragfähig ist Spotifys Wettbewerbsvorteil?</w:t>
            </w:r>
          </w:p>
        </w:tc>
        <w:tc>
          <w:tcPr>
            <w:tcW w:type="dxa" w:w="4620"/>
            <w:shd w:fill="F2F4F3" w:val="clear"/>
            <w:tcMar>
              <w:top w:type="dxa" w:w="60"/>
              <w:left w:type="dxa" w:w="100"/>
              <w:bottom w:type="dxa" w:w="60"/>
              <w:right w:type="dxa" w:w="100"/>
            </w:tcMar>
          </w:tcPr>
          <w:p>
            <w:pPr>
              <w:spacing w:after="40" w:before="40"/>
            </w:pPr>
            <w:r>
              <w:rPr>
                <w:b w:val="false"/>
                <w:bCs w:val="false"/>
                <w:color w:val="000000"/>
                <w:sz w:val="18"/>
                <w:szCs w:val="18"/>
              </w:rPr>
              <w:t xml:space="preserve">Bewertung der These an den drei Kriterien nach Meffert et al.; Gegenargumente ernsthaft diskutieren</w:t>
            </w:r>
          </w:p>
        </w:tc>
        <w:tc>
          <w:tcPr>
            <w:tcW w:type="dxa" w:w="1000"/>
            <w:shd w:fill="F2F4F3" w:val="clear"/>
            <w:tcMar>
              <w:top w:type="dxa" w:w="60"/>
              <w:left w:type="dxa" w:w="100"/>
              <w:bottom w:type="dxa" w:w="60"/>
              <w:right w:type="dxa" w:w="100"/>
            </w:tcMar>
          </w:tcPr>
          <w:p>
            <w:pPr>
              <w:spacing w:after="40" w:before="40"/>
            </w:pPr>
            <w:r>
              <w:rPr>
                <w:b w:val="false"/>
                <w:bCs w:val="false"/>
                <w:color w:val="000000"/>
                <w:sz w:val="18"/>
                <w:szCs w:val="18"/>
              </w:rPr>
              <w:t xml:space="preserve">250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6.2 Drei Handlungsempfehlungen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Konkret, begründet, aus der Analyse abgeleitet – keine Allgemeinplätze</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150</w:t>
            </w:r>
          </w:p>
        </w:tc>
      </w:tr>
      <w:tr>
        <w:tc>
          <w:tcPr>
            <w:tcW w:type="dxa" w:w="3400"/>
            <w:shd w:fill="F2F4F3" w:val="clear"/>
            <w:tcMar>
              <w:top w:type="dxa" w:w="60"/>
              <w:left w:type="dxa" w:w="100"/>
              <w:bottom w:type="dxa" w:w="60"/>
              <w:right w:type="dxa" w:w="100"/>
            </w:tcMar>
          </w:tcPr>
          <w:p>
            <w:pPr>
              <w:spacing w:after="40" w:before="40"/>
            </w:pPr>
            <w:r>
              <w:rPr>
                <w:b/>
                <w:bCs/>
                <w:color w:val="000000"/>
                <w:sz w:val="18"/>
                <w:szCs w:val="18"/>
              </w:rPr>
              <w:t xml:space="preserve">Summe Hauptteil</w:t>
            </w:r>
          </w:p>
        </w:tc>
        <w:tc>
          <w:tcPr>
            <w:tcW w:type="dxa" w:w="4620"/>
            <w:shd w:fill="F2F4F3" w:val="clear"/>
            <w:tcMar>
              <w:top w:type="dxa" w:w="60"/>
              <w:left w:type="dxa" w:w="100"/>
              <w:bottom w:type="dxa" w:w="60"/>
              <w:right w:type="dxa" w:w="100"/>
            </w:tcMar>
          </w:tcPr>
          <w:p>
            <w:pPr>
              <w:spacing w:after="40" w:before="40"/>
            </w:pPr>
          </w:p>
        </w:tc>
        <w:tc>
          <w:tcPr>
            <w:tcW w:type="dxa" w:w="1000"/>
            <w:shd w:fill="F2F4F3" w:val="clear"/>
            <w:tcMar>
              <w:top w:type="dxa" w:w="60"/>
              <w:left w:type="dxa" w:w="100"/>
              <w:bottom w:type="dxa" w:w="60"/>
              <w:right w:type="dxa" w:w="100"/>
            </w:tcMar>
          </w:tcPr>
          <w:p>
            <w:pPr>
              <w:spacing w:after="40" w:before="40"/>
            </w:pPr>
            <w:r>
              <w:rPr>
                <w:b/>
                <w:bCs/>
                <w:color w:val="000000"/>
                <w:sz w:val="18"/>
                <w:szCs w:val="18"/>
              </w:rPr>
              <w:t xml:space="preserve">≈ 5.500</w:t>
            </w:r>
          </w:p>
        </w:tc>
      </w:tr>
      <w:tr>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Individuelles Fazit (separat, je Person)</w:t>
            </w:r>
          </w:p>
        </w:tc>
        <w:tc>
          <w:tcPr>
            <w:tcW w:type="dxa" w:w="4620"/>
            <w:shd w:fill="FFFFFF" w:val="clear"/>
            <w:tcMar>
              <w:top w:type="dxa" w:w="60"/>
              <w:left w:type="dxa" w:w="100"/>
              <w:bottom w:type="dxa" w:w="60"/>
              <w:right w:type="dxa" w:w="100"/>
            </w:tcMar>
          </w:tcPr>
          <w:p>
            <w:pPr>
              <w:spacing w:after="40" w:before="40"/>
            </w:pPr>
            <w:r>
              <w:rPr>
                <w:b w:val="false"/>
                <w:bCs w:val="false"/>
                <w:color w:val="000000"/>
                <w:sz w:val="18"/>
                <w:szCs w:val="18"/>
              </w:rPr>
              <w:t xml:space="preserve">Zusammenfassung, Implikationen für das Management, inhaltliche und methodische Grenzen, Ausblick</w:t>
            </w:r>
          </w:p>
        </w:tc>
        <w:tc>
          <w:tcPr>
            <w:tcW w:type="dxa" w:w="1000"/>
            <w:shd w:fill="FFFFFF" w:val="clear"/>
            <w:tcMar>
              <w:top w:type="dxa" w:w="60"/>
              <w:left w:type="dxa" w:w="100"/>
              <w:bottom w:type="dxa" w:w="60"/>
              <w:right w:type="dxa" w:w="100"/>
            </w:tcMar>
          </w:tcPr>
          <w:p>
            <w:pPr>
              <w:spacing w:after="40" w:before="40"/>
            </w:pPr>
            <w:r>
              <w:rPr>
                <w:b w:val="false"/>
                <w:bCs w:val="false"/>
                <w:color w:val="000000"/>
                <w:sz w:val="18"/>
                <w:szCs w:val="18"/>
              </w:rPr>
              <w:t xml:space="preserve">max. 300</w:t>
            </w:r>
          </w:p>
        </w:tc>
      </w:tr>
    </w:tbl>
    <w:p>
      <w:pPr>
        <w:pBdr>
          <w:left w:val="single" w:color="1A6B4C" w:sz="18" w:space="8"/>
        </w:pBdr>
        <w:shd w:fill="F2F4F3" w:val="clear"/>
        <w:spacing w:after="160" w:before="120" w:line="276"/>
        <w:ind w:left="120" w:right="120"/>
      </w:pPr>
      <w:r>
        <w:rPr>
          <w:b/>
          <w:bCs/>
        </w:rPr>
        <w:t xml:space="preserve">Gliederungslogik prüfen:</w:t>
      </w:r>
      <w:r>
        <w:t xml:space="preserve"> kein Unterpunkt ohne Geschwister (kein 2.1 ohne 2.2), maximal drei Ebenen, jede Überschrift sagt etwas aus. Der Bewertungsbogen führt „Gliederungslogik beachtet“ als eigenes Kriterium.</w:t>
      </w:r>
    </w:p>
    <w:p>
      <w:r>
        <w:br w:type="page"/>
      </w:r>
    </w:p>
    <w:p>
      <w:pPr>
        <w:pStyle w:val="Heading1"/>
        <w:spacing w:after="160" w:before="360"/>
      </w:pPr>
      <w:r>
        <w:t xml:space="preserve">4. Quellen- und Zitierkonzept</w:t>
      </w:r>
    </w:p>
    <w:p>
      <w:pPr>
        <w:pStyle w:val="Heading2"/>
        <w:spacing w:after="120" w:before="280"/>
      </w:pPr>
      <w:r>
        <w:t xml:space="preserve">4.1 Arbeitsregeln</w:t>
      </w:r>
    </w:p>
    <w:p>
      <w:pPr>
        <w:pStyle w:val="ListParagraph"/>
        <w:numPr>
          <w:ilvl w:val="0"/>
          <w:numId w:val="1"/>
        </w:numPr>
        <w:spacing w:after="60" w:line="276"/>
      </w:pPr>
      <w:r>
        <w:rPr>
          <w:b/>
          <w:bCs/>
        </w:rPr>
        <w:t xml:space="preserve">Chicago Author-Date</w:t>
      </w:r>
      <w:r>
        <w:t xml:space="preserve"> durchgängig. Im Text: (Homburg 2020, 168). Bei zwei Quellen: (Kotler und Armstrong 2020, 185; Meffert et al. 2019, 56). </w:t>
      </w:r>
      <w:r>
        <w:rPr>
          <w:b/>
          <w:bCs/>
        </w:rPr>
        <w:t xml:space="preserve">Seitenzahl ist bei jeder Quellenart Pflicht</w:t>
      </w:r>
      <w:r>
        <w:t xml:space="preserve">, auch bei Websites.</w:t>
      </w:r>
    </w:p>
    <w:p>
      <w:pPr>
        <w:pStyle w:val="ListParagraph"/>
        <w:numPr>
          <w:ilvl w:val="0"/>
          <w:numId w:val="1"/>
        </w:numPr>
        <w:spacing w:after="60" w:line="276"/>
      </w:pPr>
      <w:r>
        <w:rPr>
          <w:b/>
          <w:bCs/>
        </w:rPr>
        <w:t xml:space="preserve">Nur zitierte Quellen</w:t>
      </w:r>
      <w:r>
        <w:t xml:space="preserve"> ins Literaturverzeichnis. Keine „weiterführende Literatur“.</w:t>
      </w:r>
    </w:p>
    <w:p>
      <w:pPr>
        <w:pStyle w:val="ListParagraph"/>
        <w:numPr>
          <w:ilvl w:val="0"/>
          <w:numId w:val="1"/>
        </w:numPr>
        <w:spacing w:after="60" w:line="276"/>
      </w:pPr>
      <w:r>
        <w:rPr>
          <w:b/>
          <w:bCs/>
        </w:rPr>
        <w:t xml:space="preserve">Vorlesungsfolien nie als Beleg.</w:t>
      </w:r>
      <w:r>
        <w:t xml:space="preserve"> Jedes Modell aus der Originalliteratur zitieren – also Homburg, Meffert et al. oder Kotler/Armstrong mit Seitenzahl, nicht das Skript.</w:t>
      </w:r>
    </w:p>
    <w:p>
      <w:pPr>
        <w:pStyle w:val="ListParagraph"/>
        <w:numPr>
          <w:ilvl w:val="0"/>
          <w:numId w:val="1"/>
        </w:numPr>
        <w:spacing w:after="60" w:line="276"/>
      </w:pPr>
      <w:r>
        <w:rPr>
          <w:b/>
          <w:bCs/>
        </w:rPr>
        <w:t xml:space="preserve">Quellenhierarchie:</w:t>
      </w:r>
      <w:r>
        <w:t xml:space="preserve"> (1) Lehrbücher für Theorie, (2) begutachtete Fachaufsätze für die Vertiefungen, (3) Unternehmensquellen für Kennzahlen, (4) Branchenverbände und Medienforschung für Marktdaten, (5) Fachmedien nur, wenn (3) und (4) nichts hergeben.</w:t>
      </w:r>
    </w:p>
    <w:p>
      <w:pPr>
        <w:pStyle w:val="ListParagraph"/>
        <w:numPr>
          <w:ilvl w:val="0"/>
          <w:numId w:val="1"/>
        </w:numPr>
        <w:spacing w:after="60" w:line="276"/>
      </w:pPr>
      <w:r>
        <w:rPr>
          <w:b/>
          <w:bCs/>
        </w:rPr>
        <w:t xml:space="preserve">Jede Kennzahl mit Stichtag.</w:t>
      </w:r>
      <w:r>
        <w:t xml:space="preserve"> Unterschiedliche Zähllogiken niemals vermischen: IFPI zählt Nutzer bezahlter Abo-Konten (837 Mio. für 2025), MIDiA zählt Abonnements (921,6 Mio. für Q4 2025). Beides ist richtig, beides ist nicht dasselbe.</w:t>
      </w:r>
    </w:p>
    <w:p>
      <w:pPr>
        <w:pStyle w:val="ListParagraph"/>
        <w:numPr>
          <w:ilvl w:val="0"/>
          <w:numId w:val="1"/>
        </w:numPr>
        <w:spacing w:after="60" w:line="276"/>
      </w:pPr>
      <w:r>
        <w:rPr>
          <w:b/>
          <w:bCs/>
        </w:rPr>
        <w:t xml:space="preserve">Kritischer Umgang mit Quellen</w:t>
      </w:r>
      <w:r>
        <w:t xml:space="preserve"> ist ein eigenes Bewertungskriterium. Konkret: MIDiA-Marktanteile sind Schätzungen eines kommerziellen Analysehauses; Spotifys Newsroom ist Unternehmenskommunikation mit Eigeninteresse. Beides ist verwendbar – aber im Text als solches zu kennzeichnen. Ein Satz wie „Die folgenden Marktanteile beruhen auf Schätzungen von MIDiA Research, da die übrigen Anbieter keine Abonnentenzahlen veröffentlichen“ bringt Punkte.</w:t>
      </w:r>
    </w:p>
    <w:p>
      <w:pPr>
        <w:pStyle w:val="ListParagraph"/>
        <w:numPr>
          <w:ilvl w:val="0"/>
          <w:numId w:val="1"/>
        </w:numPr>
        <w:spacing w:after="60" w:line="276"/>
      </w:pPr>
      <w:r>
        <w:rPr>
          <w:b/>
          <w:bCs/>
        </w:rPr>
        <w:t xml:space="preserve">Literaturverwaltung</w:t>
      </w:r>
      <w:r>
        <w:t xml:space="preserve"> von Beginn an: Mendeley oder Citavi, Chicago-Author-Date-Stil einstellen. Nachträgliches Nachtragen kostet mehr Zeit als das Aufsetzen.</w:t>
      </w:r>
    </w:p>
    <w:p>
      <w:pPr>
        <w:pStyle w:val="Heading2"/>
        <w:spacing w:after="120" w:before="280"/>
      </w:pPr>
      <w:r>
        <w:t xml:space="preserve">4.2 Literaturbasis – fertig im Chicago-Author-Date-Format</w:t>
      </w:r>
    </w:p>
    <w:p>
      <w:pPr>
        <w:spacing w:after="80" w:line="276"/>
        <w:jc w:val="both"/>
      </w:pPr>
      <w:r>
        <w:rPr>
          <w:b/>
          <w:bCs/>
        </w:rPr>
        <w:t xml:space="preserve">Kernliteratur des Moduls (Theorieteil, aus der Bibliothek besorgen – Seitenzahlen werden gebraucht):</w:t>
      </w:r>
    </w:p>
    <w:p>
      <w:pPr>
        <w:pStyle w:val="ListParagraph"/>
        <w:numPr>
          <w:ilvl w:val="0"/>
          <w:numId w:val="1"/>
        </w:numPr>
        <w:spacing w:after="60" w:line="276"/>
      </w:pPr>
      <w:r>
        <w:t xml:space="preserve">Homburg, Christian. 2020. *Grundlagen des Marketingmanagement: Einführung in Strategie, Instrumente, Umsetzung und Unternehmensführung*. 6. Aufl. Wiesbaden: Springer Gabler.</w:t>
      </w:r>
    </w:p>
    <w:p>
      <w:pPr>
        <w:pStyle w:val="ListParagraph"/>
        <w:numPr>
          <w:ilvl w:val="0"/>
          <w:numId w:val="1"/>
        </w:numPr>
        <w:spacing w:after="60" w:line="276"/>
      </w:pPr>
      <w:r>
        <w:t xml:space="preserve">Kotler, Philip, und Gary Armstrong. 2020. *Principles of Marketing*. 18th global ed. Harlow: Pearson.</w:t>
      </w:r>
    </w:p>
    <w:p>
      <w:pPr>
        <w:pStyle w:val="ListParagraph"/>
        <w:numPr>
          <w:ilvl w:val="0"/>
          <w:numId w:val="1"/>
        </w:numPr>
        <w:spacing w:after="60" w:line="276"/>
      </w:pPr>
      <w:r>
        <w:t xml:space="preserve">Meffert, Heribert, Christoph Burmann, Manfred Kirchgeorg, und Maik Eisenbeiß. 2019. *Marketing: Grundlagen marktorientierter Unternehmensführung. Konzepte – Instrumente – Praxisbeispiele*. 13. Aufl. Wiesbaden: Springer Gabler.</w:t>
      </w:r>
    </w:p>
    <w:p>
      <w:pPr>
        <w:spacing w:after="80" w:line="276"/>
        <w:jc w:val="both"/>
      </w:pPr>
      <w:r>
        <w:rPr>
          <w:b/>
          <w:bCs/>
        </w:rPr>
        <w:t xml:space="preserve">Begutachtete Fachaufsätze (DOIs geprüft) – tragen die Vertiefungen:</w:t>
      </w:r>
    </w:p>
    <w:p>
      <w:pPr>
        <w:pStyle w:val="ListParagraph"/>
        <w:numPr>
          <w:ilvl w:val="0"/>
          <w:numId w:val="1"/>
        </w:numPr>
        <w:spacing w:after="60" w:line="276"/>
      </w:pPr>
      <w:r>
        <w:t xml:space="preserve">Aguiar, Luis. 2017. „Let the Music Play? Free Streaming and Its Effects on Digital Music Consumption.“ *Information Economics and Policy* 41: 1–14. https://doi.org/10.1016/j.infoecopol.2017.06.002</w:t>
      </w:r>
    </w:p>
    <w:p>
      <w:pPr>
        <w:pStyle w:val="ListParagraph"/>
        <w:numPr>
          <w:ilvl w:val="0"/>
          <w:numId w:val="1"/>
        </w:numPr>
        <w:spacing w:after="60" w:line="276"/>
      </w:pPr>
      <w:r>
        <w:t xml:space="preserve">Datta, Hannes, George Knox, und Bart J. Bronnenberg. 2018. „Changing Their Tune: How Consumers’ Adoption of Online Streaming Affects Music Consumption and Discovery.“ *Marketing Science* 37 (1): 5–21. https://doi.org/10.1287/mksc.2017.1051</w:t>
      </w:r>
    </w:p>
    <w:p>
      <w:pPr>
        <w:pStyle w:val="ListParagraph"/>
        <w:numPr>
          <w:ilvl w:val="0"/>
          <w:numId w:val="1"/>
        </w:numPr>
        <w:spacing w:after="60" w:line="276"/>
      </w:pPr>
      <w:r>
        <w:t xml:space="preserve">Hamari, Juho, Nicolai Hanner, und Jonna Koivisto. 2017. „Service Quality Explains Why People Use Freemium Services but Not If They Go Premium.“ *International Journal of Information Management* 37 (1): 1449–1459. https://doi.org/10.1016/j.ijinfomgt.2016.09.004</w:t>
      </w:r>
    </w:p>
    <w:p>
      <w:pPr>
        <w:pStyle w:val="ListParagraph"/>
        <w:numPr>
          <w:ilvl w:val="0"/>
          <w:numId w:val="1"/>
        </w:numPr>
        <w:spacing w:after="60" w:line="276"/>
      </w:pPr>
      <w:r>
        <w:t xml:space="preserve">Hosanagar, Kartik, Daniel Fleder, Dokyun Lee, und Andreas Buja. 2014. „Will the Global Village Fracture into Tribes? Recommender Systems and Their Effects on Consumer Fragmentation.“ *Management Science* 60 (4): 805–823. https://doi.org/10.1287/mnsc.2013.1808</w:t>
      </w:r>
    </w:p>
    <w:p>
      <w:pPr>
        <w:pStyle w:val="ListParagraph"/>
        <w:numPr>
          <w:ilvl w:val="0"/>
          <w:numId w:val="1"/>
        </w:numPr>
        <w:spacing w:after="60" w:line="276"/>
      </w:pPr>
      <w:r>
        <w:t xml:space="preserve">Seifert, R., J. Denk, M. Clement, M. Kandziora, und J. Meyn. 2024. „Conversion in Music Streaming Services.“ *Journal of Interactive Marketing* 59 (2): 201–219. https://doi.org/10.1177/10949968231186950</w:t>
      </w:r>
    </w:p>
    <w:p>
      <w:pPr>
        <w:pStyle w:val="ListParagraph"/>
        <w:numPr>
          <w:ilvl w:val="0"/>
          <w:numId w:val="1"/>
        </w:numPr>
        <w:spacing w:after="60" w:line="276"/>
      </w:pPr>
      <w:r>
        <w:t xml:space="preserve">Tyrväinen, Olli, und Heikki Karjaluoto. 2024. „Willingness to Pay for Freemium Services: Addressing the Differences between Monetization Strategies.“ *International Journal of Information Management* 77: 102787. https://doi.org/10.1016/j.ijinfomgt.2024.102787</w:t>
      </w:r>
    </w:p>
    <w:p>
      <w:pPr>
        <w:pStyle w:val="ListParagraph"/>
        <w:numPr>
          <w:ilvl w:val="0"/>
          <w:numId w:val="1"/>
        </w:numPr>
        <w:spacing w:after="60" w:line="276"/>
      </w:pPr>
      <w:r>
        <w:t xml:space="preserve">Wagner, Thomas M., Alexander Benlian, und Thomas Hess. 2014. „Converting Freemium Customers from Free to Premium – The Role of the Perceived Premium Fit in the Case of Music as a Service.“ *Electronic Markets* 24 (4): 259–268. https://doi.org/10.1007/s12525-014-0168-4</w:t>
      </w:r>
    </w:p>
    <w:p>
      <w:pPr>
        <w:pBdr>
          <w:left w:val="single" w:color="1A6B4C" w:sz="18" w:space="8"/>
        </w:pBdr>
        <w:shd w:fill="F2F4F3" w:val="clear"/>
        <w:spacing w:after="160" w:before="120" w:line="276"/>
        <w:ind w:left="120" w:right="120"/>
      </w:pPr>
      <w:r>
        <w:rPr>
          <w:b/>
          <w:bCs/>
        </w:rPr>
        <w:t xml:space="preserve">Zwei Hinweise.</w:t>
      </w:r>
      <w:r>
        <w:t xml:space="preserve"> Erstens: Seifert et al. (2024) ist der wichtigste Aufsatz für uns – Open Access, deutsche Stichprobe, 11.744 Beobachtungen, und er quantifiziert, was die Abschaffung der Gratisversion ökonomisch bedeuten würde. Die Vornamen der Autorinnen und Autoren bitte am Volltext prüfen, bevor sie ins Literaturverzeichnis wandern. Zweitens: Alle sieben Aufsätze </w:t>
      </w:r>
      <w:r>
        <w:rPr>
          <w:b/>
          <w:bCs/>
        </w:rPr>
        <w:t xml:space="preserve">wirklich lesen</w:t>
      </w:r>
      <w:r>
        <w:t xml:space="preserve">, bevor sie zitiert werden – die Rules and Guidelines verlangen das ausdrücklich, und die Seitenzahlen kommen ohnehin nur aus dem Volltext.</w:t>
      </w:r>
    </w:p>
    <w:p>
      <w:pPr>
        <w:spacing w:after="80" w:line="276"/>
        <w:jc w:val="both"/>
      </w:pPr>
      <w:r>
        <w:rPr>
          <w:b/>
          <w:bCs/>
        </w:rPr>
        <w:t xml:space="preserve">Markt- und Unternehmensquellen:</w:t>
      </w:r>
    </w:p>
    <w:p>
      <w:pPr>
        <w:pStyle w:val="ListParagraph"/>
        <w:numPr>
          <w:ilvl w:val="0"/>
          <w:numId w:val="1"/>
        </w:numPr>
        <w:spacing w:after="60" w:line="276"/>
      </w:pPr>
      <w:r>
        <w:t xml:space="preserve">Bitkom. 2025. „Musik, Podcast, Hörbuch: 8 von 10 streamen Audios.“ Presseinformation, 22. Januar 2025. https://www.bitkom.org/Presse/Presseinformation/Musik-Podcast-Hoerbuch-8-von-10-streamen-Audios (Erhebungszeitraum KW 13–18/2024, n = 1.149, ab 16 Jahren).</w:t>
      </w:r>
    </w:p>
    <w:p>
      <w:pPr>
        <w:pStyle w:val="ListParagraph"/>
        <w:numPr>
          <w:ilvl w:val="0"/>
          <w:numId w:val="1"/>
        </w:numPr>
        <w:spacing w:after="60" w:line="276"/>
      </w:pPr>
      <w:r>
        <w:t xml:space="preserve">Bundesverband Musikindustrie. 2026. „Musikindustrie in Deutschland 2025.“ Presseinformation, 26. Februar 2026. https://www.musikindustrie.de/presse/presseinformationen/musikindustrie-in-deutschland-2025</w:t>
      </w:r>
    </w:p>
    <w:p>
      <w:pPr>
        <w:pStyle w:val="ListParagraph"/>
        <w:numPr>
          <w:ilvl w:val="0"/>
          <w:numId w:val="1"/>
        </w:numPr>
        <w:spacing w:after="60" w:line="276"/>
      </w:pPr>
      <w:r>
        <w:t xml:space="preserve">IFPI. 2026. „Global Music Report 2026.“ 18. März 2026. https://www.ifpi.org/global-music-report-2026-global-recorded-music-revenues-grow-6-4-as-record-companies-drive-innovation/</w:t>
      </w:r>
    </w:p>
    <w:p>
      <w:pPr>
        <w:pStyle w:val="ListParagraph"/>
        <w:numPr>
          <w:ilvl w:val="0"/>
          <w:numId w:val="1"/>
        </w:numPr>
        <w:spacing w:after="60" w:line="276"/>
      </w:pPr>
      <w:r>
        <w:t xml:space="preserve">Müller, Thorsten. 2025. „Zuwachs bei Podcastnutzung nach Jahren der Stagnation.“ *Media Perspektiven* 30/2025. https://www.media-perspektiven.de</w:t>
      </w:r>
    </w:p>
    <w:p>
      <w:pPr>
        <w:pStyle w:val="ListParagraph"/>
        <w:numPr>
          <w:ilvl w:val="0"/>
          <w:numId w:val="1"/>
        </w:numPr>
        <w:spacing w:after="60" w:line="276"/>
      </w:pPr>
      <w:r>
        <w:t xml:space="preserve">Müller, Thorsten. 2025. „Spotify und YouTube dominieren weiter den Markt der Audioplattformen.“ *Media Perspektiven* 33/2025. https://www.media-perspektiven.de</w:t>
      </w:r>
    </w:p>
    <w:p>
      <w:pPr>
        <w:pStyle w:val="ListParagraph"/>
        <w:numPr>
          <w:ilvl w:val="0"/>
          <w:numId w:val="1"/>
        </w:numPr>
        <w:spacing w:after="60" w:line="276"/>
      </w:pPr>
      <w:r>
        <w:t xml:space="preserve">Spotify AB. 2026. „Spotify Premium.“ Abgerufen am 24. August 2026. https://www.spotify.com/de/premium/</w:t>
      </w:r>
    </w:p>
    <w:p>
      <w:pPr>
        <w:pStyle w:val="ListParagraph"/>
        <w:numPr>
          <w:ilvl w:val="0"/>
          <w:numId w:val="1"/>
        </w:numPr>
        <w:spacing w:after="60" w:line="276"/>
      </w:pPr>
      <w:r>
        <w:t xml:space="preserve">Spotify Technology S.A. 2026. „Spotify Reports Second Quarter 2026 Earnings.“ Newsroom, 4. August 2026. https://newsroom.spotify.com/2026-08-04/spotify-q2-2026-earnings/</w:t>
      </w:r>
    </w:p>
    <w:p>
      <w:pPr>
        <w:pStyle w:val="ListParagraph"/>
        <w:numPr>
          <w:ilvl w:val="0"/>
          <w:numId w:val="1"/>
        </w:numPr>
        <w:spacing w:after="60" w:line="276"/>
      </w:pPr>
      <w:r>
        <w:t xml:space="preserve">Spotify Technology S.A. 2026. „Spotify’s 2026 Investor Day Recap.“ Newsroom, 21. Mai 2026. https://newsroom.spotify.com/2026-05-21/investor-day-recap/</w:t>
      </w:r>
    </w:p>
    <w:p>
      <w:pPr>
        <w:pStyle w:val="ListParagraph"/>
        <w:numPr>
          <w:ilvl w:val="0"/>
          <w:numId w:val="1"/>
        </w:numPr>
        <w:spacing w:after="60" w:line="276"/>
      </w:pPr>
      <w:r>
        <w:t xml:space="preserve">Stassen, Murray. 2026. „The Music Industry Is Closing In on a Billion Global Subscribers – with Spotify Out in Front.“ *Music Business Worldwide*, 16. Juni 2026. https://www.musicbusinessworldwide.com/the-music-industry-is-closing-in-on-a-billion-global-subscribers-with-spotify-out-in-front/</w:t>
      </w:r>
    </w:p>
    <w:p>
      <w:r>
        <w:br w:type="page"/>
      </w:r>
    </w:p>
    <w:p>
      <w:pPr>
        <w:pStyle w:val="Heading1"/>
        <w:spacing w:after="160" w:before="360"/>
      </w:pPr>
      <w:r>
        <w:t xml:space="preserve">5. Arbeitspaket für Dienstag: Kunden und Märkte definieren</w:t>
      </w:r>
    </w:p>
    <w:p>
      <w:pPr>
        <w:spacing w:after="120" w:line="276"/>
        <w:jc w:val="both"/>
      </w:pPr>
      <w:r>
        <w:t xml:space="preserve">Das ist der erste Schritt des Marketing-Management-Prozesses und die Grundlage für alles Folgende: Aus der Marktabgrenzung folgt, wer die Wettbewerber sind; aus der Segmentierung folgt die Strategie; aus dem Kaufverhalten folgt, welche Instrumente überhaupt wirken.</w:t>
      </w:r>
    </w:p>
    <w:p>
      <w:pPr>
        <w:pStyle w:val="Heading2"/>
        <w:spacing w:after="120" w:before="280"/>
      </w:pPr>
      <w:r>
        <w:t xml:space="preserve">5.1 Marktabgrenzung – vier Optionen und eine Entscheidung</w:t>
      </w:r>
    </w:p>
    <w:p>
      <w:pPr>
        <w:spacing w:after="120" w:line="276"/>
        <w:jc w:val="both"/>
      </w:pPr>
      <w:r>
        <w:t xml:space="preserve">Meffert et al. unterscheiden vier Kriterien der Marktabgrenzung. Auf Spotify angewandt: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0"/>
      </w:tblGrid>
      <w:tr>
        <w:trPr>
          <w:tblHeader/>
        </w:trPr>
        <w:tc>
          <w:tcPr>
            <w:tcW w:type="dxa" w:w="1600"/>
            <w:shd w:fill="1A6B4C" w:val="clear"/>
            <w:tcMar>
              <w:top w:type="dxa" w:w="60"/>
              <w:left w:type="dxa" w:w="100"/>
              <w:bottom w:type="dxa" w:w="60"/>
              <w:right w:type="dxa" w:w="100"/>
            </w:tcMar>
          </w:tcPr>
          <w:p>
            <w:pPr>
              <w:spacing w:after="40" w:before="40"/>
            </w:pPr>
            <w:r>
              <w:rPr>
                <w:b/>
                <w:bCs/>
                <w:color w:val="FFFFFF"/>
                <w:sz w:val="18"/>
                <w:szCs w:val="18"/>
              </w:rPr>
              <w:t xml:space="preserve">Abgrenzung nach</w:t>
            </w:r>
          </w:p>
        </w:tc>
        <w:tc>
          <w:tcPr>
            <w:tcW w:type="dxa" w:w="3400"/>
            <w:shd w:fill="1A6B4C" w:val="clear"/>
            <w:tcMar>
              <w:top w:type="dxa" w:w="60"/>
              <w:left w:type="dxa" w:w="100"/>
              <w:bottom w:type="dxa" w:w="60"/>
              <w:right w:type="dxa" w:w="100"/>
            </w:tcMar>
          </w:tcPr>
          <w:p>
            <w:pPr>
              <w:spacing w:after="40" w:before="40"/>
            </w:pPr>
            <w:r>
              <w:rPr>
                <w:b/>
                <w:bCs/>
                <w:color w:val="FFFFFF"/>
                <w:sz w:val="18"/>
                <w:szCs w:val="18"/>
              </w:rPr>
              <w:t xml:space="preserve">Ergebnis</w:t>
            </w:r>
          </w:p>
        </w:tc>
        <w:tc>
          <w:tcPr>
            <w:tcW w:type="dxa" w:w="4020"/>
            <w:shd w:fill="1A6B4C" w:val="clear"/>
            <w:tcMar>
              <w:top w:type="dxa" w:w="60"/>
              <w:left w:type="dxa" w:w="100"/>
              <w:bottom w:type="dxa" w:w="60"/>
              <w:right w:type="dxa" w:w="100"/>
            </w:tcMar>
          </w:tcPr>
          <w:p>
            <w:pPr>
              <w:spacing w:after="40" w:before="40"/>
            </w:pPr>
            <w:r>
              <w:rPr>
                <w:b/>
                <w:bCs/>
                <w:color w:val="FFFFFF"/>
                <w:sz w:val="18"/>
                <w:szCs w:val="18"/>
              </w:rPr>
              <w:t xml:space="preserve">Bewertung</w:t>
            </w:r>
          </w:p>
        </w:tc>
      </w:tr>
      <w:tr>
        <w:tc>
          <w:tcPr>
            <w:tcW w:type="dxa" w:w="1600"/>
            <w:shd w:fill="FFFFFF" w:val="clear"/>
            <w:tcMar>
              <w:top w:type="dxa" w:w="60"/>
              <w:left w:type="dxa" w:w="100"/>
              <w:bottom w:type="dxa" w:w="60"/>
              <w:right w:type="dxa" w:w="100"/>
            </w:tcMar>
          </w:tcPr>
          <w:p>
            <w:pPr>
              <w:spacing w:after="40" w:before="40"/>
            </w:pPr>
            <w:r>
              <w:rPr>
                <w:b w:val="false"/>
                <w:bCs w:val="false"/>
                <w:color w:val="000000"/>
                <w:sz w:val="18"/>
                <w:szCs w:val="18"/>
              </w:rPr>
              <w:t xml:space="preserve">Unternehmen</w:t>
            </w:r>
          </w:p>
        </w:tc>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„Markt der Musikstreaming-Anbieter“: Spotify, Apple Music, Amazon Music, YouTube Music, Deezer, Tidal</w:t>
            </w:r>
          </w:p>
        </w:tc>
        <w:tc>
          <w:tcPr>
            <w:tcW w:type="dxa" w:w="4020"/>
            <w:shd w:fill="FFFFFF" w:val="clear"/>
            <w:tcMar>
              <w:top w:type="dxa" w:w="60"/>
              <w:left w:type="dxa" w:w="100"/>
              <w:bottom w:type="dxa" w:w="60"/>
              <w:right w:type="dxa" w:w="100"/>
            </w:tcMar>
          </w:tcPr>
          <w:p>
            <w:pPr>
              <w:spacing w:after="40" w:before="40"/>
            </w:pPr>
            <w:r>
              <w:rPr>
                <w:b w:val="false"/>
                <w:bCs w:val="false"/>
                <w:color w:val="000000"/>
                <w:sz w:val="18"/>
                <w:szCs w:val="18"/>
              </w:rPr>
              <w:t xml:space="preserve">Zu eng. Blendet aus, dass Spotify um Hörzeit gegen Podcast-Plattformen, Audible und lineares Radio konkurriert.</w:t>
            </w:r>
          </w:p>
        </w:tc>
      </w:tr>
      <w:tr>
        <w:tc>
          <w:tcPr>
            <w:tcW w:type="dxa" w:w="1600"/>
            <w:shd w:fill="F2F4F3" w:val="clear"/>
            <w:tcMar>
              <w:top w:type="dxa" w:w="60"/>
              <w:left w:type="dxa" w:w="100"/>
              <w:bottom w:type="dxa" w:w="60"/>
              <w:right w:type="dxa" w:w="100"/>
            </w:tcMar>
          </w:tcPr>
          <w:p>
            <w:pPr>
              <w:spacing w:after="40" w:before="40"/>
            </w:pPr>
            <w:r>
              <w:rPr>
                <w:b w:val="false"/>
                <w:bCs w:val="false"/>
                <w:color w:val="000000"/>
                <w:sz w:val="18"/>
                <w:szCs w:val="18"/>
              </w:rPr>
              <w:t xml:space="preserve">Produkten</w:t>
            </w:r>
          </w:p>
        </w:tc>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„Markt für Audio-Streaming-Abonnements“</w:t>
            </w:r>
          </w:p>
        </w:tc>
        <w:tc>
          <w:tcPr>
            <w:tcW w:type="dxa" w:w="4020"/>
            <w:shd w:fill="F2F4F3" w:val="clear"/>
            <w:tcMar>
              <w:top w:type="dxa" w:w="60"/>
              <w:left w:type="dxa" w:w="100"/>
              <w:bottom w:type="dxa" w:w="60"/>
              <w:right w:type="dxa" w:w="100"/>
            </w:tcMar>
          </w:tcPr>
          <w:p>
            <w:pPr>
              <w:spacing w:after="40" w:before="40"/>
            </w:pPr>
            <w:r>
              <w:rPr>
                <w:b w:val="false"/>
                <w:bCs w:val="false"/>
                <w:color w:val="000000"/>
                <w:sz w:val="18"/>
                <w:szCs w:val="18"/>
              </w:rPr>
              <w:t xml:space="preserve">Sauber abgrenzbar und gut mit Zahlen zu unterlegen, erklärt aber die Diversifikation in Hörbücher nicht.</w:t>
            </w:r>
          </w:p>
        </w:tc>
      </w:tr>
      <w:tr>
        <w:tc>
          <w:tcPr>
            <w:tcW w:type="dxa" w:w="1600"/>
            <w:shd w:fill="FFFFFF" w:val="clear"/>
            <w:tcMar>
              <w:top w:type="dxa" w:w="60"/>
              <w:left w:type="dxa" w:w="100"/>
              <w:bottom w:type="dxa" w:w="60"/>
              <w:right w:type="dxa" w:w="100"/>
            </w:tcMar>
          </w:tcPr>
          <w:p>
            <w:pPr>
              <w:spacing w:after="40" w:before="40"/>
            </w:pPr>
            <w:r>
              <w:rPr>
                <w:b w:val="false"/>
                <w:bCs w:val="false"/>
                <w:color w:val="000000"/>
                <w:sz w:val="18"/>
                <w:szCs w:val="18"/>
              </w:rPr>
              <w:t xml:space="preserve">Käufern</w:t>
            </w:r>
          </w:p>
        </w:tc>
        <w:tc>
          <w:tcPr>
            <w:tcW w:type="dxa" w:w="3400"/>
            <w:shd w:fill="FFFFFF" w:val="clear"/>
            <w:tcMar>
              <w:top w:type="dxa" w:w="60"/>
              <w:left w:type="dxa" w:w="100"/>
              <w:bottom w:type="dxa" w:w="60"/>
              <w:right w:type="dxa" w:w="100"/>
            </w:tcMar>
          </w:tcPr>
          <w:p>
            <w:pPr>
              <w:spacing w:after="40" w:before="40"/>
            </w:pPr>
            <w:r>
              <w:rPr>
                <w:b w:val="false"/>
                <w:bCs w:val="false"/>
                <w:color w:val="000000"/>
                <w:sz w:val="18"/>
                <w:szCs w:val="18"/>
              </w:rPr>
              <w:t xml:space="preserve">„Markt der digital affinen Privatnutzenden mit mobilem Endgerät“</w:t>
            </w:r>
          </w:p>
        </w:tc>
        <w:tc>
          <w:tcPr>
            <w:tcW w:type="dxa" w:w="4020"/>
            <w:shd w:fill="FFFFFF" w:val="clear"/>
            <w:tcMar>
              <w:top w:type="dxa" w:w="60"/>
              <w:left w:type="dxa" w:w="100"/>
              <w:bottom w:type="dxa" w:w="60"/>
              <w:right w:type="dxa" w:w="100"/>
            </w:tcMar>
          </w:tcPr>
          <w:p>
            <w:pPr>
              <w:spacing w:after="40" w:before="40"/>
            </w:pPr>
            <w:r>
              <w:rPr>
                <w:b w:val="false"/>
                <w:bCs w:val="false"/>
                <w:color w:val="000000"/>
                <w:sz w:val="18"/>
                <w:szCs w:val="18"/>
              </w:rPr>
              <w:t xml:space="preserve">Zu unspezifisch; nahezu die gesamte Bevölkerung unter 60.</w:t>
            </w:r>
          </w:p>
        </w:tc>
      </w:tr>
      <w:tr>
        <w:tc>
          <w:tcPr>
            <w:tcW w:type="dxa" w:w="1600"/>
            <w:shd w:fill="F2F4F3" w:val="clear"/>
            <w:tcMar>
              <w:top w:type="dxa" w:w="60"/>
              <w:left w:type="dxa" w:w="100"/>
              <w:bottom w:type="dxa" w:w="60"/>
              <w:right w:type="dxa" w:w="100"/>
            </w:tcMar>
          </w:tcPr>
          <w:p>
            <w:pPr>
              <w:spacing w:after="40" w:before="40"/>
            </w:pPr>
            <w:r>
              <w:rPr>
                <w:b w:val="false"/>
                <w:bCs w:val="false"/>
                <w:color w:val="000000"/>
                <w:sz w:val="18"/>
                <w:szCs w:val="18"/>
              </w:rPr>
              <w:t xml:space="preserve">Bedürfnissen</w:t>
            </w:r>
          </w:p>
        </w:tc>
        <w:tc>
          <w:tcPr>
            <w:tcW w:type="dxa" w:w="3400"/>
            <w:shd w:fill="F2F4F3" w:val="clear"/>
            <w:tcMar>
              <w:top w:type="dxa" w:w="60"/>
              <w:left w:type="dxa" w:w="100"/>
              <w:bottom w:type="dxa" w:w="60"/>
              <w:right w:type="dxa" w:w="100"/>
            </w:tcMar>
          </w:tcPr>
          <w:p>
            <w:pPr>
              <w:spacing w:after="40" w:before="40"/>
            </w:pPr>
            <w:r>
              <w:rPr>
                <w:b w:val="false"/>
                <w:bCs w:val="false"/>
                <w:color w:val="000000"/>
                <w:sz w:val="18"/>
                <w:szCs w:val="18"/>
              </w:rPr>
              <w:t xml:space="preserve">„Markt für jederzeit verfügbare, personalisierte Audiobegleitung im Alltag“</w:t>
            </w:r>
          </w:p>
        </w:tc>
        <w:tc>
          <w:tcPr>
            <w:tcW w:type="dxa" w:w="4020"/>
            <w:shd w:fill="F2F4F3" w:val="clear"/>
            <w:tcMar>
              <w:top w:type="dxa" w:w="60"/>
              <w:left w:type="dxa" w:w="100"/>
              <w:bottom w:type="dxa" w:w="60"/>
              <w:right w:type="dxa" w:w="100"/>
            </w:tcMar>
          </w:tcPr>
          <w:p>
            <w:pPr>
              <w:spacing w:after="40" w:before="40"/>
            </w:pPr>
            <w:r>
              <w:rPr>
                <w:b/>
                <w:bCs/>
                <w:color w:val="000000"/>
                <w:sz w:val="18"/>
                <w:szCs w:val="18"/>
              </w:rPr>
              <w:t xml:space="preserve">Empfehlung.</w:t>
            </w:r>
            <w:r>
              <w:rPr>
                <w:b w:val="false"/>
                <w:bCs w:val="false"/>
                <w:color w:val="000000"/>
                <w:sz w:val="18"/>
                <w:szCs w:val="18"/>
              </w:rPr>
              <w:t xml:space="preserve"> Erklärt, warum Spotify Hörbücher und Video-Podcasts aufnimmt, warum YouTube der reichweitenstärkste Wettbewerber ist und warum die Konkurrenz um Zeit, nicht nur um Geld geführt wird.</w:t>
            </w:r>
          </w:p>
        </w:tc>
      </w:tr>
    </w:tbl>
    <w:p>
      <w:pPr>
        <w:spacing w:after="120" w:line="276"/>
        <w:jc w:val="both"/>
      </w:pPr>
      <w:r>
        <w:rPr>
          <w:b/>
          <w:bCs/>
        </w:rPr>
        <w:t xml:space="preserve">Vorgehen im Bericht:</w:t>
      </w:r>
      <w:r>
        <w:t xml:space="preserve"> beide relevanten Abgrenzungen nutzen. Die bedürfnisorientierte Abgrenzung für die strategische Argumentation, die produktbezogene für die quantitative Marktbeschreibung – weil nur für sie Zahlen existieren. Diese Trennung offen begründen; sie ist selbst ein methodischer Beitrag.</w:t>
      </w:r>
    </w:p>
    <w:p>
      <w:pPr>
        <w:pStyle w:val="Heading2"/>
        <w:spacing w:after="120" w:before="280"/>
      </w:pPr>
      <w:r>
        <w:t xml:space="preserve">5.2 Markttypologie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A6B4C" w:val="clear"/>
            <w:tcMar>
              <w:top w:type="dxa" w:w="60"/>
              <w:left w:type="dxa" w:w="100"/>
              <w:bottom w:type="dxa" w:w="60"/>
              <w:right w:type="dxa" w:w="100"/>
            </w:tcMar>
          </w:tcPr>
          <w:p>
            <w:pPr>
              <w:spacing w:after="40" w:before="40"/>
            </w:pPr>
            <w:r>
              <w:rPr>
                <w:b/>
                <w:bCs/>
                <w:color w:val="FFFFFF"/>
                <w:sz w:val="18"/>
                <w:szCs w:val="18"/>
              </w:rPr>
              <w:t xml:space="preserve">Kriterium</w:t>
            </w:r>
          </w:p>
        </w:tc>
        <w:tc>
          <w:tcPr>
            <w:tcW w:type="dxa" w:w="6620"/>
            <w:shd w:fill="1A6B4C" w:val="clear"/>
            <w:tcMar>
              <w:top w:type="dxa" w:w="60"/>
              <w:left w:type="dxa" w:w="100"/>
              <w:bottom w:type="dxa" w:w="60"/>
              <w:right w:type="dxa" w:w="100"/>
            </w:tcMar>
          </w:tcPr>
          <w:p>
            <w:pPr>
              <w:spacing w:after="40" w:before="40"/>
            </w:pPr>
            <w:r>
              <w:rPr>
                <w:b/>
                <w:bCs/>
                <w:color w:val="FFFFFF"/>
                <w:sz w:val="18"/>
                <w:szCs w:val="18"/>
              </w:rPr>
              <w:t xml:space="preserve">Einordnung</w:t>
            </w:r>
          </w:p>
        </w:tc>
      </w:tr>
      <w:tr>
        <w:tc>
          <w:tcPr>
            <w:tcW w:type="dxa" w:w="2400"/>
            <w:shd w:fill="FFFFFF" w:val="clear"/>
            <w:tcMar>
              <w:top w:type="dxa" w:w="60"/>
              <w:left w:type="dxa" w:w="100"/>
              <w:bottom w:type="dxa" w:w="60"/>
              <w:right w:type="dxa" w:w="100"/>
            </w:tcMar>
          </w:tcPr>
          <w:p>
            <w:pPr>
              <w:spacing w:after="40" w:before="40"/>
            </w:pPr>
            <w:r>
              <w:rPr>
                <w:b w:val="false"/>
                <w:bCs w:val="false"/>
                <w:color w:val="000000"/>
                <w:sz w:val="18"/>
                <w:szCs w:val="18"/>
              </w:rPr>
              <w:t xml:space="preserve">Anzahl und Größe der Teilnehmer</w:t>
            </w:r>
          </w:p>
        </w:tc>
        <w:tc>
          <w:tcPr>
            <w:tcW w:type="dxa" w:w="6620"/>
            <w:shd w:fill="FFFFFF" w:val="clear"/>
            <w:tcMar>
              <w:top w:type="dxa" w:w="60"/>
              <w:left w:type="dxa" w:w="100"/>
              <w:bottom w:type="dxa" w:w="60"/>
              <w:right w:type="dxa" w:w="100"/>
            </w:tcMar>
          </w:tcPr>
          <w:p>
            <w:pPr>
              <w:spacing w:after="40" w:before="40"/>
            </w:pPr>
            <w:r>
              <w:rPr>
                <w:b/>
                <w:bCs/>
                <w:color w:val="000000"/>
                <w:sz w:val="18"/>
                <w:szCs w:val="18"/>
              </w:rPr>
              <w:t xml:space="preserve">Enges Oligopol.</w:t>
            </w:r>
            <w:r>
              <w:rPr>
                <w:b w:val="false"/>
                <w:bCs w:val="false"/>
                <w:color w:val="000000"/>
                <w:sz w:val="18"/>
                <w:szCs w:val="18"/>
              </w:rPr>
              <w:t xml:space="preserve"> Die fünf größten Anbieter vereinen 78,7 Prozent der weltweiten Abonnements auf sich (MIDiA, Q4 2025).</w:t>
            </w:r>
          </w:p>
        </w:tc>
      </w:tr>
      <w:tr>
        <w:tc>
          <w:tcPr>
            <w:tcW w:type="dxa" w:w="2400"/>
            <w:shd w:fill="F2F4F3" w:val="clear"/>
            <w:tcMar>
              <w:top w:type="dxa" w:w="60"/>
              <w:left w:type="dxa" w:w="100"/>
              <w:bottom w:type="dxa" w:w="60"/>
              <w:right w:type="dxa" w:w="100"/>
            </w:tcMar>
          </w:tcPr>
          <w:p>
            <w:pPr>
              <w:spacing w:after="40" w:before="40"/>
            </w:pPr>
            <w:r>
              <w:rPr>
                <w:b w:val="false"/>
                <w:bCs w:val="false"/>
                <w:color w:val="000000"/>
                <w:sz w:val="18"/>
                <w:szCs w:val="18"/>
              </w:rPr>
              <w:t xml:space="preserve">Art der verkauften Güter</w:t>
            </w:r>
          </w:p>
        </w:tc>
        <w:tc>
          <w:tcPr>
            <w:tcW w:type="dxa" w:w="6620"/>
            <w:shd w:fill="F2F4F3" w:val="clear"/>
            <w:tcMar>
              <w:top w:type="dxa" w:w="60"/>
              <w:left w:type="dxa" w:w="100"/>
              <w:bottom w:type="dxa" w:w="60"/>
              <w:right w:type="dxa" w:w="100"/>
            </w:tcMar>
          </w:tcPr>
          <w:p>
            <w:pPr>
              <w:spacing w:after="40" w:before="40"/>
            </w:pPr>
            <w:r>
              <w:rPr>
                <w:b/>
                <w:bCs/>
                <w:color w:val="000000"/>
                <w:sz w:val="18"/>
                <w:szCs w:val="18"/>
              </w:rPr>
              <w:t xml:space="preserve">Dienstleistung</w:t>
            </w:r>
            <w:r>
              <w:rPr>
                <w:b w:val="false"/>
                <w:bCs w:val="false"/>
                <w:color w:val="000000"/>
                <w:sz w:val="18"/>
                <w:szCs w:val="18"/>
              </w:rPr>
              <w:t xml:space="preserve"> an private Endkunden – nicht-physische Leistung, gleichzeitige Erbringung und Nutzung. Zusätzlich </w:t>
            </w:r>
            <w:r>
              <w:rPr>
                <w:b/>
                <w:bCs/>
                <w:color w:val="000000"/>
                <w:sz w:val="18"/>
                <w:szCs w:val="18"/>
              </w:rPr>
              <w:t xml:space="preserve">zweiseitiger Markt</w:t>
            </w:r>
            <w:r>
              <w:rPr>
                <w:b w:val="false"/>
                <w:bCs w:val="false"/>
                <w:color w:val="000000"/>
                <w:sz w:val="18"/>
                <w:szCs w:val="18"/>
              </w:rPr>
              <w:t xml:space="preserve">: Hörende, Werbekunden und Rechteinhaber müssen simultan bedient werden.</w:t>
            </w:r>
          </w:p>
        </w:tc>
      </w:tr>
      <w:tr>
        <w:tc>
          <w:tcPr>
            <w:tcW w:type="dxa" w:w="2400"/>
            <w:shd w:fill="FFFFFF" w:val="clear"/>
            <w:tcMar>
              <w:top w:type="dxa" w:w="60"/>
              <w:left w:type="dxa" w:w="100"/>
              <w:bottom w:type="dxa" w:w="60"/>
              <w:right w:type="dxa" w:w="100"/>
            </w:tcMar>
          </w:tcPr>
          <w:p>
            <w:pPr>
              <w:spacing w:after="40" w:before="40"/>
            </w:pPr>
            <w:r>
              <w:rPr>
                <w:b w:val="false"/>
                <w:bCs w:val="false"/>
                <w:color w:val="000000"/>
                <w:sz w:val="18"/>
                <w:szCs w:val="18"/>
              </w:rPr>
              <w:t xml:space="preserve">Grad der Internationalität</w:t>
            </w:r>
          </w:p>
        </w:tc>
        <w:tc>
          <w:tcPr>
            <w:tcW w:type="dxa" w:w="6620"/>
            <w:shd w:fill="FFFFFF" w:val="clear"/>
            <w:tcMar>
              <w:top w:type="dxa" w:w="60"/>
              <w:left w:type="dxa" w:w="100"/>
              <w:bottom w:type="dxa" w:w="60"/>
              <w:right w:type="dxa" w:w="100"/>
            </w:tcMar>
          </w:tcPr>
          <w:p>
            <w:pPr>
              <w:spacing w:after="40" w:before="40"/>
            </w:pPr>
            <w:r>
              <w:rPr>
                <w:b/>
                <w:bCs/>
                <w:color w:val="000000"/>
                <w:sz w:val="18"/>
                <w:szCs w:val="18"/>
              </w:rPr>
              <w:t xml:space="preserve">Globaler Markt</w:t>
            </w:r>
            <w:r>
              <w:rPr>
                <w:b w:val="false"/>
                <w:bCs w:val="false"/>
                <w:color w:val="000000"/>
                <w:sz w:val="18"/>
                <w:szCs w:val="18"/>
              </w:rPr>
              <w:t xml:space="preserve"> (184 Märkte), jedoch mit national differenzierten Preisen und teils eigenen Tarifstufen – Lite, Standard und Platinum existieren nur in Indien, Indonesien, den VAE, Saudi-Arabien und Südafrika.</w:t>
            </w:r>
          </w:p>
        </w:tc>
      </w:tr>
      <w:tr>
        <w:tc>
          <w:tcPr>
            <w:tcW w:type="dxa" w:w="2400"/>
            <w:shd w:fill="F2F4F3" w:val="clear"/>
            <w:tcMar>
              <w:top w:type="dxa" w:w="60"/>
              <w:left w:type="dxa" w:w="100"/>
              <w:bottom w:type="dxa" w:w="60"/>
              <w:right w:type="dxa" w:w="100"/>
            </w:tcMar>
          </w:tcPr>
          <w:p>
            <w:pPr>
              <w:spacing w:after="40" w:before="40"/>
            </w:pPr>
            <w:r>
              <w:rPr>
                <w:b w:val="false"/>
                <w:bCs w:val="false"/>
                <w:color w:val="000000"/>
                <w:sz w:val="18"/>
                <w:szCs w:val="18"/>
              </w:rPr>
              <w:t xml:space="preserve">Art der Transaktion</w:t>
            </w:r>
          </w:p>
        </w:tc>
        <w:tc>
          <w:tcPr>
            <w:tcW w:type="dxa" w:w="6620"/>
            <w:shd w:fill="F2F4F3" w:val="clear"/>
            <w:tcMar>
              <w:top w:type="dxa" w:w="60"/>
              <w:left w:type="dxa" w:w="100"/>
              <w:bottom w:type="dxa" w:w="60"/>
              <w:right w:type="dxa" w:w="100"/>
            </w:tcMar>
          </w:tcPr>
          <w:p>
            <w:pPr>
              <w:spacing w:after="40" w:before="40"/>
            </w:pPr>
            <w:r>
              <w:rPr>
                <w:b/>
                <w:bCs/>
                <w:color w:val="000000"/>
                <w:sz w:val="18"/>
                <w:szCs w:val="18"/>
              </w:rPr>
              <w:t xml:space="preserve">Rein elektronischer Markt.</w:t>
            </w:r>
            <w:r>
              <w:rPr>
                <w:b w:val="false"/>
                <w:bCs w:val="false"/>
                <w:color w:val="000000"/>
                <w:sz w:val="18"/>
                <w:szCs w:val="18"/>
              </w:rPr>
              <w:t xml:space="preserve"> Kein stationärer Absatzkanal, Vertrieb ausschließlich über App Stores und Web.</w:t>
            </w:r>
          </w:p>
        </w:tc>
      </w:tr>
    </w:tbl>
    <w:p>
      <w:pPr>
        <w:pStyle w:val="Heading2"/>
        <w:spacing w:after="120" w:before="280"/>
      </w:pPr>
      <w:r>
        <w:t xml:space="preserve">5.3 Quantitative Marktbeschreibung</w:t>
      </w:r>
    </w:p>
    <w:p>
      <w:pPr>
        <w:spacing w:after="120" w:line="276"/>
        <w:jc w:val="both"/>
      </w:pPr>
      <w:r>
        <w:t xml:space="preserve">Meffert et al. unterscheiden Marktpotenzial, Marktvolumen, Absatzvolumen und daraus abgeleitet Marktanteil und Marktausschöpfungsgrad. Die Kunst der Aufgabe liegt darin, diese Größen für einen Markt zu bestimmen, für den es keine amtliche Statistik gibt.</w:t>
      </w:r>
    </w:p>
    <w:p>
      <w:pPr>
        <w:pStyle w:val="Heading3"/>
        <w:spacing w:after="100" w:before="220"/>
      </w:pPr>
      <w:r>
        <w:t xml:space="preserve">Weltweit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0"/>
      </w:tblGrid>
      <w:tr>
        <w:trPr>
          <w:tblHeader/>
        </w:trPr>
        <w:tc>
          <w:tcPr>
            <w:tcW w:type="dxa" w:w="2800"/>
            <w:shd w:fill="1A6B4C" w:val="clear"/>
            <w:tcMar>
              <w:top w:type="dxa" w:w="60"/>
              <w:left w:type="dxa" w:w="100"/>
              <w:bottom w:type="dxa" w:w="60"/>
              <w:right w:type="dxa" w:w="100"/>
            </w:tcMar>
          </w:tcPr>
          <w:p>
            <w:pPr>
              <w:spacing w:after="40" w:before="40"/>
            </w:pPr>
            <w:r>
              <w:rPr>
                <w:b/>
                <w:bCs/>
                <w:color w:val="FFFFFF"/>
                <w:sz w:val="18"/>
                <w:szCs w:val="18"/>
              </w:rPr>
              <w:t xml:space="preserve">Größe</w:t>
            </w:r>
          </w:p>
        </w:tc>
        <w:tc>
          <w:tcPr>
            <w:tcW w:type="dxa" w:w="2600"/>
            <w:shd w:fill="1A6B4C" w:val="clear"/>
            <w:tcMar>
              <w:top w:type="dxa" w:w="60"/>
              <w:left w:type="dxa" w:w="100"/>
              <w:bottom w:type="dxa" w:w="60"/>
              <w:right w:type="dxa" w:w="100"/>
            </w:tcMar>
          </w:tcPr>
          <w:p>
            <w:pPr>
              <w:spacing w:after="40" w:before="40"/>
            </w:pPr>
            <w:r>
              <w:rPr>
                <w:b/>
                <w:bCs/>
                <w:color w:val="FFFFFF"/>
                <w:sz w:val="18"/>
                <w:szCs w:val="18"/>
              </w:rPr>
              <w:t xml:space="preserve">Wert</w:t>
            </w:r>
          </w:p>
        </w:tc>
        <w:tc>
          <w:tcPr>
            <w:tcW w:type="dxa" w:w="3620"/>
            <w:shd w:fill="1A6B4C" w:val="clear"/>
            <w:tcMar>
              <w:top w:type="dxa" w:w="60"/>
              <w:left w:type="dxa" w:w="100"/>
              <w:bottom w:type="dxa" w:w="60"/>
              <w:right w:type="dxa" w:w="100"/>
            </w:tcMar>
          </w:tcPr>
          <w:p>
            <w:pPr>
              <w:spacing w:after="40" w:before="40"/>
            </w:pPr>
            <w:r>
              <w:rPr>
                <w:b/>
                <w:bCs/>
                <w:color w:val="FFFFFF"/>
                <w:sz w:val="18"/>
                <w:szCs w:val="18"/>
              </w:rPr>
              <w:t xml:space="preserve">Quelle / Stichtag</w:t>
            </w:r>
          </w:p>
        </w:tc>
      </w:tr>
      <w:tr>
        <w:tc>
          <w:tcPr>
            <w:tcW w:type="dxa" w:w="2800"/>
            <w:shd w:fill="FFFFFF" w:val="clear"/>
            <w:tcMar>
              <w:top w:type="dxa" w:w="60"/>
              <w:left w:type="dxa" w:w="100"/>
              <w:bottom w:type="dxa" w:w="60"/>
              <w:right w:type="dxa" w:w="100"/>
            </w:tcMar>
          </w:tcPr>
          <w:p>
            <w:pPr>
              <w:spacing w:after="40" w:before="40"/>
            </w:pPr>
            <w:r>
              <w:rPr>
                <w:b w:val="false"/>
                <w:bCs w:val="false"/>
                <w:color w:val="000000"/>
                <w:sz w:val="18"/>
                <w:szCs w:val="18"/>
              </w:rPr>
              <w:t xml:space="preserve">Umsatz Recorded Music weltweit</w:t>
            </w:r>
          </w:p>
        </w:tc>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31,7 Mrd. US-Dollar, +6,4 %</w:t>
            </w:r>
          </w:p>
        </w:tc>
        <w:tc>
          <w:tcPr>
            <w:tcW w:type="dxa" w:w="3620"/>
            <w:shd w:fill="FFFFFF" w:val="clear"/>
            <w:tcMar>
              <w:top w:type="dxa" w:w="60"/>
              <w:left w:type="dxa" w:w="100"/>
              <w:bottom w:type="dxa" w:w="60"/>
              <w:right w:type="dxa" w:w="100"/>
            </w:tcMar>
          </w:tcPr>
          <w:p>
            <w:pPr>
              <w:spacing w:after="40" w:before="40"/>
            </w:pPr>
            <w:r>
              <w:rPr>
                <w:b w:val="false"/>
                <w:bCs w:val="false"/>
                <w:color w:val="000000"/>
                <w:sz w:val="18"/>
                <w:szCs w:val="18"/>
              </w:rPr>
              <w:t xml:space="preserve">IFPI Global Music Report 2026 (GJ 2025)</w:t>
            </w:r>
          </w:p>
        </w:tc>
      </w:tr>
      <w:tr>
        <w:tc>
          <w:tcPr>
            <w:tcW w:type="dxa" w:w="2800"/>
            <w:shd w:fill="F2F4F3" w:val="clear"/>
            <w:tcMar>
              <w:top w:type="dxa" w:w="60"/>
              <w:left w:type="dxa" w:w="100"/>
              <w:bottom w:type="dxa" w:w="60"/>
              <w:right w:type="dxa" w:w="100"/>
            </w:tcMar>
          </w:tcPr>
          <w:p>
            <w:pPr>
              <w:spacing w:after="40" w:before="40"/>
            </w:pPr>
            <w:r>
              <w:rPr>
                <w:b w:val="false"/>
                <w:bCs w:val="false"/>
                <w:color w:val="000000"/>
                <w:sz w:val="18"/>
                <w:szCs w:val="18"/>
              </w:rPr>
              <w:t xml:space="preserve">davon Streaming</w:t>
            </w:r>
          </w:p>
        </w:tc>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69,6 % ≈ 22 Mrd. US-Dollar</w:t>
            </w:r>
          </w:p>
        </w:tc>
        <w:tc>
          <w:tcPr>
            <w:tcW w:type="dxa" w:w="3620"/>
            <w:shd w:fill="F2F4F3" w:val="clear"/>
            <w:tcMar>
              <w:top w:type="dxa" w:w="60"/>
              <w:left w:type="dxa" w:w="100"/>
              <w:bottom w:type="dxa" w:w="60"/>
              <w:right w:type="dxa" w:w="100"/>
            </w:tcMar>
          </w:tcPr>
          <w:p>
            <w:pPr>
              <w:spacing w:after="40" w:before="40"/>
            </w:pPr>
            <w:r>
              <w:rPr>
                <w:b w:val="false"/>
                <w:bCs w:val="false"/>
                <w:color w:val="000000"/>
                <w:sz w:val="18"/>
                <w:szCs w:val="18"/>
              </w:rPr>
              <w:t xml:space="preserve">IFPI 2026</w:t>
            </w:r>
          </w:p>
        </w:tc>
      </w:tr>
      <w:tr>
        <w:tc>
          <w:tcPr>
            <w:tcW w:type="dxa" w:w="2800"/>
            <w:shd w:fill="FFFFFF" w:val="clear"/>
            <w:tcMar>
              <w:top w:type="dxa" w:w="60"/>
              <w:left w:type="dxa" w:w="100"/>
              <w:bottom w:type="dxa" w:w="60"/>
              <w:right w:type="dxa" w:w="100"/>
            </w:tcMar>
          </w:tcPr>
          <w:p>
            <w:pPr>
              <w:spacing w:after="40" w:before="40"/>
            </w:pPr>
            <w:r>
              <w:rPr>
                <w:b w:val="false"/>
                <w:bCs w:val="false"/>
                <w:color w:val="000000"/>
                <w:sz w:val="18"/>
                <w:szCs w:val="18"/>
              </w:rPr>
              <w:t xml:space="preserve">davon Abonnement-Streaming</w:t>
            </w:r>
          </w:p>
        </w:tc>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52,4 % des Gesamtumsatzes, +8,8 %</w:t>
            </w:r>
          </w:p>
        </w:tc>
        <w:tc>
          <w:tcPr>
            <w:tcW w:type="dxa" w:w="3620"/>
            <w:shd w:fill="FFFFFF" w:val="clear"/>
            <w:tcMar>
              <w:top w:type="dxa" w:w="60"/>
              <w:left w:type="dxa" w:w="100"/>
              <w:bottom w:type="dxa" w:w="60"/>
              <w:right w:type="dxa" w:w="100"/>
            </w:tcMar>
          </w:tcPr>
          <w:p>
            <w:pPr>
              <w:spacing w:after="40" w:before="40"/>
            </w:pPr>
            <w:r>
              <w:rPr>
                <w:b w:val="false"/>
                <w:bCs w:val="false"/>
                <w:color w:val="000000"/>
                <w:sz w:val="18"/>
                <w:szCs w:val="18"/>
              </w:rPr>
              <w:t xml:space="preserve">IFPI 2026</w:t>
            </w:r>
          </w:p>
        </w:tc>
      </w:tr>
      <w:tr>
        <w:tc>
          <w:tcPr>
            <w:tcW w:type="dxa" w:w="2800"/>
            <w:shd w:fill="F2F4F3" w:val="clear"/>
            <w:tcMar>
              <w:top w:type="dxa" w:w="60"/>
              <w:left w:type="dxa" w:w="100"/>
              <w:bottom w:type="dxa" w:w="60"/>
              <w:right w:type="dxa" w:w="100"/>
            </w:tcMar>
          </w:tcPr>
          <w:p>
            <w:pPr>
              <w:spacing w:after="40" w:before="40"/>
            </w:pPr>
            <w:r>
              <w:rPr>
                <w:b w:val="false"/>
                <w:bCs w:val="false"/>
                <w:color w:val="000000"/>
                <w:sz w:val="18"/>
                <w:szCs w:val="18"/>
              </w:rPr>
              <w:t xml:space="preserve">Nutzer bezahlter Abo-Konten</w:t>
            </w:r>
          </w:p>
        </w:tc>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837 Mio.</w:t>
            </w:r>
          </w:p>
        </w:tc>
        <w:tc>
          <w:tcPr>
            <w:tcW w:type="dxa" w:w="3620"/>
            <w:shd w:fill="F2F4F3" w:val="clear"/>
            <w:tcMar>
              <w:top w:type="dxa" w:w="60"/>
              <w:left w:type="dxa" w:w="100"/>
              <w:bottom w:type="dxa" w:w="60"/>
              <w:right w:type="dxa" w:w="100"/>
            </w:tcMar>
          </w:tcPr>
          <w:p>
            <w:pPr>
              <w:spacing w:after="40" w:before="40"/>
            </w:pPr>
            <w:r>
              <w:rPr>
                <w:b w:val="false"/>
                <w:bCs w:val="false"/>
                <w:color w:val="000000"/>
                <w:sz w:val="18"/>
                <w:szCs w:val="18"/>
              </w:rPr>
              <w:t xml:space="preserve">IFPI 2026 (GJ 2025)</w:t>
            </w:r>
          </w:p>
        </w:tc>
      </w:tr>
      <w:tr>
        <w:tc>
          <w:tcPr>
            <w:tcW w:type="dxa" w:w="2800"/>
            <w:shd w:fill="FFFFFF" w:val="clear"/>
            <w:tcMar>
              <w:top w:type="dxa" w:w="60"/>
              <w:left w:type="dxa" w:w="100"/>
              <w:bottom w:type="dxa" w:w="60"/>
              <w:right w:type="dxa" w:w="100"/>
            </w:tcMar>
          </w:tcPr>
          <w:p>
            <w:pPr>
              <w:spacing w:after="40" w:before="40"/>
            </w:pPr>
            <w:r>
              <w:rPr>
                <w:b w:val="false"/>
                <w:bCs w:val="false"/>
                <w:color w:val="000000"/>
                <w:sz w:val="18"/>
                <w:szCs w:val="18"/>
              </w:rPr>
              <w:t xml:space="preserve">Bezahlte Abonnements</w:t>
            </w:r>
          </w:p>
        </w:tc>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921,6 Mio., +10,1 %</w:t>
            </w:r>
          </w:p>
        </w:tc>
        <w:tc>
          <w:tcPr>
            <w:tcW w:type="dxa" w:w="3620"/>
            <w:shd w:fill="FFFFFF" w:val="clear"/>
            <w:tcMar>
              <w:top w:type="dxa" w:w="60"/>
              <w:left w:type="dxa" w:w="100"/>
              <w:bottom w:type="dxa" w:w="60"/>
              <w:right w:type="dxa" w:w="100"/>
            </w:tcMar>
          </w:tcPr>
          <w:p>
            <w:pPr>
              <w:spacing w:after="40" w:before="40"/>
            </w:pPr>
            <w:r>
              <w:rPr>
                <w:b w:val="false"/>
                <w:bCs w:val="false"/>
                <w:color w:val="000000"/>
                <w:sz w:val="18"/>
                <w:szCs w:val="18"/>
              </w:rPr>
              <w:t xml:space="preserve">MIDiA Research, Q4 2025 – </w:t>
            </w:r>
            <w:r>
              <w:rPr>
                <w:b/>
                <w:bCs/>
                <w:color w:val="000000"/>
                <w:sz w:val="18"/>
                <w:szCs w:val="18"/>
              </w:rPr>
              <w:t xml:space="preserve">andere Zähleinheit als IFPI</w:t>
            </w:r>
          </w:p>
        </w:tc>
      </w:tr>
      <w:tr>
        <w:tc>
          <w:tcPr>
            <w:tcW w:type="dxa" w:w="2800"/>
            <w:shd w:fill="F2F4F3" w:val="clear"/>
            <w:tcMar>
              <w:top w:type="dxa" w:w="60"/>
              <w:left w:type="dxa" w:w="100"/>
              <w:bottom w:type="dxa" w:w="60"/>
              <w:right w:type="dxa" w:w="100"/>
            </w:tcMar>
          </w:tcPr>
          <w:p>
            <w:pPr>
              <w:spacing w:after="40" w:before="40"/>
            </w:pPr>
            <w:r>
              <w:rPr>
                <w:b w:val="false"/>
                <w:bCs w:val="false"/>
                <w:color w:val="000000"/>
                <w:sz w:val="18"/>
                <w:szCs w:val="18"/>
              </w:rPr>
              <w:t xml:space="preserve">Absatzvolumen Spotify</w:t>
            </w:r>
          </w:p>
        </w:tc>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300 Mio. Premium-Abonnements</w:t>
            </w:r>
          </w:p>
        </w:tc>
        <w:tc>
          <w:tcPr>
            <w:tcW w:type="dxa" w:w="3620"/>
            <w:shd w:fill="F2F4F3" w:val="clear"/>
            <w:tcMar>
              <w:top w:type="dxa" w:w="60"/>
              <w:left w:type="dxa" w:w="100"/>
              <w:bottom w:type="dxa" w:w="60"/>
              <w:right w:type="dxa" w:w="100"/>
            </w:tcMar>
          </w:tcPr>
          <w:p>
            <w:pPr>
              <w:spacing w:after="40" w:before="40"/>
            </w:pPr>
            <w:r>
              <w:rPr>
                <w:b w:val="false"/>
                <w:bCs w:val="false"/>
                <w:color w:val="000000"/>
                <w:sz w:val="18"/>
                <w:szCs w:val="18"/>
              </w:rPr>
              <w:t xml:space="preserve">Spotify Q2 2026, Stichtag 30.06.2026</w:t>
            </w:r>
          </w:p>
        </w:tc>
      </w:tr>
      <w:tr>
        <w:tc>
          <w:tcPr>
            <w:tcW w:type="dxa" w:w="2800"/>
            <w:shd w:fill="FFFFFF" w:val="clear"/>
            <w:tcMar>
              <w:top w:type="dxa" w:w="60"/>
              <w:left w:type="dxa" w:w="100"/>
              <w:bottom w:type="dxa" w:w="60"/>
              <w:right w:type="dxa" w:w="100"/>
            </w:tcMar>
          </w:tcPr>
          <w:p>
            <w:pPr>
              <w:spacing w:after="40" w:before="40"/>
            </w:pPr>
            <w:r>
              <w:rPr>
                <w:b w:val="false"/>
                <w:bCs w:val="false"/>
                <w:color w:val="000000"/>
                <w:sz w:val="18"/>
                <w:szCs w:val="18"/>
              </w:rPr>
              <w:t xml:space="preserve">Marktanteil Spotify</w:t>
            </w:r>
          </w:p>
        </w:tc>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31,4 % der Abonnements</w:t>
            </w:r>
          </w:p>
        </w:tc>
        <w:tc>
          <w:tcPr>
            <w:tcW w:type="dxa" w:w="3620"/>
            <w:shd w:fill="FFFFFF" w:val="clear"/>
            <w:tcMar>
              <w:top w:type="dxa" w:w="60"/>
              <w:left w:type="dxa" w:w="100"/>
              <w:bottom w:type="dxa" w:w="60"/>
              <w:right w:type="dxa" w:w="100"/>
            </w:tcMar>
          </w:tcPr>
          <w:p>
            <w:pPr>
              <w:spacing w:after="40" w:before="40"/>
            </w:pPr>
            <w:r>
              <w:rPr>
                <w:b w:val="false"/>
                <w:bCs w:val="false"/>
                <w:color w:val="000000"/>
                <w:sz w:val="18"/>
                <w:szCs w:val="18"/>
              </w:rPr>
              <w:t xml:space="preserve">MIDiA, Q4 2025</w:t>
            </w:r>
          </w:p>
        </w:tc>
      </w:tr>
    </w:tbl>
    <w:p>
      <w:pPr>
        <w:pStyle w:val="Heading3"/>
        <w:spacing w:after="100" w:before="220"/>
      </w:pPr>
      <w:r>
        <w:t xml:space="preserve">Deutschland – eigene Schätzung</w:t>
      </w:r>
    </w:p>
    <w:p>
      <w:pPr>
        <w:spacing w:after="120" w:line="276"/>
        <w:jc w:val="both"/>
      </w:pPr>
      <w:r>
        <w:t xml:space="preserve">Für Deutschland veröffentlicht kein Anbieter Nutzerzahlen. Das Marktpotenzial lässt sich aber nach der Formel von Kotler et al. schätzen: potenzielle Käuferzahl mal durchschnittliche Menge mal Preis.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0"/>
      </w:tblGrid>
      <w:tr>
        <w:trPr>
          <w:tblHeader/>
        </w:trPr>
        <w:tc>
          <w:tcPr>
            <w:tcW w:type="dxa" w:w="2800"/>
            <w:shd w:fill="1A6B4C" w:val="clear"/>
            <w:tcMar>
              <w:top w:type="dxa" w:w="60"/>
              <w:left w:type="dxa" w:w="100"/>
              <w:bottom w:type="dxa" w:w="60"/>
              <w:right w:type="dxa" w:w="100"/>
            </w:tcMar>
          </w:tcPr>
          <w:p>
            <w:pPr>
              <w:spacing w:after="40" w:before="40"/>
            </w:pPr>
            <w:r>
              <w:rPr>
                <w:b/>
                <w:bCs/>
                <w:color w:val="FFFFFF"/>
                <w:sz w:val="18"/>
                <w:szCs w:val="18"/>
              </w:rPr>
              <w:t xml:space="preserve">Rechenschritt</w:t>
            </w:r>
          </w:p>
        </w:tc>
        <w:tc>
          <w:tcPr>
            <w:tcW w:type="dxa" w:w="2000"/>
            <w:shd w:fill="1A6B4C" w:val="clear"/>
            <w:tcMar>
              <w:top w:type="dxa" w:w="60"/>
              <w:left w:type="dxa" w:w="100"/>
              <w:bottom w:type="dxa" w:w="60"/>
              <w:right w:type="dxa" w:w="100"/>
            </w:tcMar>
          </w:tcPr>
          <w:p>
            <w:pPr>
              <w:spacing w:after="40" w:before="40"/>
            </w:pPr>
            <w:r>
              <w:rPr>
                <w:b/>
                <w:bCs/>
                <w:color w:val="FFFFFF"/>
                <w:sz w:val="18"/>
                <w:szCs w:val="18"/>
              </w:rPr>
              <w:t xml:space="preserve">Wert</w:t>
            </w:r>
          </w:p>
        </w:tc>
        <w:tc>
          <w:tcPr>
            <w:tcW w:type="dxa" w:w="4220"/>
            <w:shd w:fill="1A6B4C" w:val="clear"/>
            <w:tcMar>
              <w:top w:type="dxa" w:w="60"/>
              <w:left w:type="dxa" w:w="100"/>
              <w:bottom w:type="dxa" w:w="60"/>
              <w:right w:type="dxa" w:w="100"/>
            </w:tcMar>
          </w:tcPr>
          <w:p>
            <w:pPr>
              <w:spacing w:after="40" w:before="40"/>
            </w:pPr>
            <w:r>
              <w:rPr>
                <w:b/>
                <w:bCs/>
                <w:color w:val="FFFFFF"/>
                <w:sz w:val="18"/>
                <w:szCs w:val="18"/>
              </w:rPr>
              <w:t xml:space="preserve">Herleitung</w:t>
            </w:r>
          </w:p>
        </w:tc>
      </w:tr>
      <w:tr>
        <w:tc>
          <w:tcPr>
            <w:tcW w:type="dxa" w:w="2800"/>
            <w:shd w:fill="FFFFFF" w:val="clear"/>
            <w:tcMar>
              <w:top w:type="dxa" w:w="60"/>
              <w:left w:type="dxa" w:w="100"/>
              <w:bottom w:type="dxa" w:w="60"/>
              <w:right w:type="dxa" w:w="100"/>
            </w:tcMar>
          </w:tcPr>
          <w:p>
            <w:pPr>
              <w:spacing w:after="40" w:before="40"/>
            </w:pPr>
            <w:r>
              <w:rPr>
                <w:b w:val="false"/>
                <w:bCs w:val="false"/>
                <w:color w:val="000000"/>
                <w:sz w:val="18"/>
                <w:szCs w:val="18"/>
              </w:rPr>
              <w:t xml:space="preserve">Bevölkerung ab 14 Jahren</w:t>
            </w:r>
          </w:p>
        </w:tc>
        <w:tc>
          <w:tcPr>
            <w:tcW w:type="dxa" w:w="2000"/>
            <w:shd w:fill="FFFFFF" w:val="clear"/>
            <w:tcMar>
              <w:top w:type="dxa" w:w="60"/>
              <w:left w:type="dxa" w:w="100"/>
              <w:bottom w:type="dxa" w:w="60"/>
              <w:right w:type="dxa" w:w="100"/>
            </w:tcMar>
          </w:tcPr>
          <w:p>
            <w:pPr>
              <w:spacing w:after="40" w:before="40"/>
            </w:pPr>
            <w:r>
              <w:rPr>
                <w:b w:val="false"/>
                <w:bCs w:val="false"/>
                <w:color w:val="000000"/>
                <w:sz w:val="18"/>
                <w:szCs w:val="18"/>
              </w:rPr>
              <w:t xml:space="preserve">≈ 72 Mio.</w:t>
            </w:r>
          </w:p>
        </w:tc>
        <w:tc>
          <w:tcPr>
            <w:tcW w:type="dxa" w:w="4220"/>
            <w:shd w:fill="FFFFFF" w:val="clear"/>
            <w:tcMar>
              <w:top w:type="dxa" w:w="60"/>
              <w:left w:type="dxa" w:w="100"/>
              <w:bottom w:type="dxa" w:w="60"/>
              <w:right w:type="dxa" w:w="100"/>
            </w:tcMar>
          </w:tcPr>
          <w:p>
            <w:pPr>
              <w:spacing w:after="40" w:before="40"/>
            </w:pPr>
            <w:r>
              <w:rPr>
                <w:b w:val="false"/>
                <w:bCs w:val="false"/>
                <w:color w:val="000000"/>
                <w:sz w:val="18"/>
                <w:szCs w:val="18"/>
              </w:rPr>
              <w:t xml:space="preserve">Näherung – </w:t>
            </w:r>
            <w:r>
              <w:rPr>
                <w:b/>
                <w:bCs/>
                <w:color w:val="000000"/>
                <w:sz w:val="18"/>
                <w:szCs w:val="18"/>
              </w:rPr>
              <w:t xml:space="preserve">vor Abgabe an der amtlichen Statistik prüfen</w:t>
            </w:r>
          </w:p>
        </w:tc>
      </w:tr>
      <w:tr>
        <w:tc>
          <w:tcPr>
            <w:tcW w:type="dxa" w:w="2800"/>
            <w:shd w:fill="F2F4F3" w:val="clear"/>
            <w:tcMar>
              <w:top w:type="dxa" w:w="60"/>
              <w:left w:type="dxa" w:w="100"/>
              <w:bottom w:type="dxa" w:w="60"/>
              <w:right w:type="dxa" w:w="100"/>
            </w:tcMar>
          </w:tcPr>
          <w:p>
            <w:pPr>
              <w:spacing w:after="40" w:before="40"/>
            </w:pPr>
            <w:r>
              <w:rPr>
                <w:b w:val="false"/>
                <w:bCs w:val="false"/>
                <w:color w:val="000000"/>
                <w:sz w:val="18"/>
                <w:szCs w:val="18"/>
              </w:rPr>
              <w:t xml:space="preserve">Musikstreaming-Wochenreichweite</w:t>
            </w:r>
          </w:p>
        </w:tc>
        <w:tc>
          <w:tcPr>
            <w:tcW w:type="dxa" w:w="2000"/>
            <w:shd w:fill="F2F4F3" w:val="clear"/>
            <w:tcMar>
              <w:top w:type="dxa" w:w="60"/>
              <w:left w:type="dxa" w:w="100"/>
              <w:bottom w:type="dxa" w:w="60"/>
              <w:right w:type="dxa" w:w="100"/>
            </w:tcMar>
          </w:tcPr>
          <w:p>
            <w:pPr>
              <w:spacing w:after="40" w:before="40"/>
            </w:pPr>
            <w:r>
              <w:rPr>
                <w:b w:val="false"/>
                <w:bCs w:val="false"/>
                <w:color w:val="000000"/>
                <w:sz w:val="18"/>
                <w:szCs w:val="18"/>
              </w:rPr>
              <w:t xml:space="preserve">45 %</w:t>
            </w:r>
          </w:p>
        </w:tc>
        <w:tc>
          <w:tcPr>
            <w:tcW w:type="dxa" w:w="4220"/>
            <w:shd w:fill="F2F4F3" w:val="clear"/>
            <w:tcMar>
              <w:top w:type="dxa" w:w="60"/>
              <w:left w:type="dxa" w:w="100"/>
              <w:bottom w:type="dxa" w:w="60"/>
              <w:right w:type="dxa" w:w="100"/>
            </w:tcMar>
          </w:tcPr>
          <w:p>
            <w:pPr>
              <w:spacing w:after="40" w:before="40"/>
            </w:pPr>
            <w:r>
              <w:rPr>
                <w:b w:val="false"/>
                <w:bCs w:val="false"/>
                <w:color w:val="000000"/>
                <w:sz w:val="18"/>
                <w:szCs w:val="18"/>
              </w:rPr>
              <w:t xml:space="preserve">ARD/ZDF-Medienstudie 2025, Feldzeit 28.01.–18.04.2025, n = 2.512</w:t>
            </w:r>
          </w:p>
        </w:tc>
      </w:tr>
      <w:tr>
        <w:tc>
          <w:tcPr>
            <w:tcW w:type="dxa" w:w="2800"/>
            <w:shd w:fill="FFFFFF" w:val="clear"/>
            <w:tcMar>
              <w:top w:type="dxa" w:w="60"/>
              <w:left w:type="dxa" w:w="100"/>
              <w:bottom w:type="dxa" w:w="60"/>
              <w:right w:type="dxa" w:w="100"/>
            </w:tcMar>
          </w:tcPr>
          <w:p>
            <w:pPr>
              <w:spacing w:after="40" w:before="40"/>
            </w:pPr>
            <w:r>
              <w:rPr>
                <w:b w:val="false"/>
                <w:bCs w:val="false"/>
                <w:color w:val="000000"/>
                <w:sz w:val="18"/>
                <w:szCs w:val="18"/>
              </w:rPr>
              <w:t xml:space="preserve">Potenzielle Käufer</w:t>
            </w:r>
          </w:p>
        </w:tc>
        <w:tc>
          <w:tcPr>
            <w:tcW w:type="dxa" w:w="2000"/>
            <w:shd w:fill="FFFFFF" w:val="clear"/>
            <w:tcMar>
              <w:top w:type="dxa" w:w="60"/>
              <w:left w:type="dxa" w:w="100"/>
              <w:bottom w:type="dxa" w:w="60"/>
              <w:right w:type="dxa" w:w="100"/>
            </w:tcMar>
          </w:tcPr>
          <w:p>
            <w:pPr>
              <w:spacing w:after="40" w:before="40"/>
            </w:pPr>
            <w:r>
              <w:rPr>
                <w:b w:val="false"/>
                <w:bCs w:val="false"/>
                <w:color w:val="000000"/>
                <w:sz w:val="18"/>
                <w:szCs w:val="18"/>
              </w:rPr>
              <w:t xml:space="preserve">≈ 32,4 Mio.</w:t>
            </w:r>
          </w:p>
        </w:tc>
        <w:tc>
          <w:tcPr>
            <w:tcW w:type="dxa" w:w="4220"/>
            <w:shd w:fill="FFFFFF" w:val="clear"/>
            <w:tcMar>
              <w:top w:type="dxa" w:w="60"/>
              <w:left w:type="dxa" w:w="100"/>
              <w:bottom w:type="dxa" w:w="60"/>
              <w:right w:type="dxa" w:w="100"/>
            </w:tcMar>
          </w:tcPr>
          <w:p>
            <w:pPr>
              <w:spacing w:after="40" w:before="40"/>
            </w:pPr>
            <w:r>
              <w:rPr>
                <w:b w:val="false"/>
                <w:bCs w:val="false"/>
                <w:color w:val="000000"/>
                <w:sz w:val="18"/>
                <w:szCs w:val="18"/>
              </w:rPr>
              <w:t xml:space="preserve">72 Mio. × 0,45</w:t>
            </w:r>
          </w:p>
        </w:tc>
      </w:tr>
      <w:tr>
        <w:tc>
          <w:tcPr>
            <w:tcW w:type="dxa" w:w="2800"/>
            <w:shd w:fill="F2F4F3" w:val="clear"/>
            <w:tcMar>
              <w:top w:type="dxa" w:w="60"/>
              <w:left w:type="dxa" w:w="100"/>
              <w:bottom w:type="dxa" w:w="60"/>
              <w:right w:type="dxa" w:w="100"/>
            </w:tcMar>
          </w:tcPr>
          <w:p>
            <w:pPr>
              <w:spacing w:after="40" w:before="40"/>
            </w:pPr>
            <w:r>
              <w:rPr>
                <w:b w:val="false"/>
                <w:bCs w:val="false"/>
                <w:color w:val="000000"/>
                <w:sz w:val="18"/>
                <w:szCs w:val="18"/>
              </w:rPr>
              <w:t xml:space="preserve">Referenzpreis Einzelabo</w:t>
            </w:r>
          </w:p>
        </w:tc>
        <w:tc>
          <w:tcPr>
            <w:tcW w:type="dxa" w:w="2000"/>
            <w:shd w:fill="F2F4F3" w:val="clear"/>
            <w:tcMar>
              <w:top w:type="dxa" w:w="60"/>
              <w:left w:type="dxa" w:w="100"/>
              <w:bottom w:type="dxa" w:w="60"/>
              <w:right w:type="dxa" w:w="100"/>
            </w:tcMar>
          </w:tcPr>
          <w:p>
            <w:pPr>
              <w:spacing w:after="40" w:before="40"/>
            </w:pPr>
            <w:r>
              <w:rPr>
                <w:b w:val="false"/>
                <w:bCs w:val="false"/>
                <w:color w:val="000000"/>
                <w:sz w:val="18"/>
                <w:szCs w:val="18"/>
              </w:rPr>
              <w:t xml:space="preserve">12,99 €/Monat</w:t>
            </w:r>
          </w:p>
        </w:tc>
        <w:tc>
          <w:tcPr>
            <w:tcW w:type="dxa" w:w="4220"/>
            <w:shd w:fill="F2F4F3" w:val="clear"/>
            <w:tcMar>
              <w:top w:type="dxa" w:w="60"/>
              <w:left w:type="dxa" w:w="100"/>
              <w:bottom w:type="dxa" w:w="60"/>
              <w:right w:type="dxa" w:w="100"/>
            </w:tcMar>
          </w:tcPr>
          <w:p>
            <w:pPr>
              <w:spacing w:after="40" w:before="40"/>
            </w:pPr>
            <w:r>
              <w:rPr>
                <w:b w:val="false"/>
                <w:bCs w:val="false"/>
                <w:color w:val="000000"/>
                <w:sz w:val="18"/>
                <w:szCs w:val="18"/>
              </w:rPr>
              <w:t xml:space="preserve">Spotify Premium Individual, Stand 24.08.2026</w:t>
            </w:r>
          </w:p>
        </w:tc>
      </w:tr>
      <w:tr>
        <w:tc>
          <w:tcPr>
            <w:tcW w:type="dxa" w:w="2800"/>
            <w:shd w:fill="FFFFFF" w:val="clear"/>
            <w:tcMar>
              <w:top w:type="dxa" w:w="60"/>
              <w:left w:type="dxa" w:w="100"/>
              <w:bottom w:type="dxa" w:w="60"/>
              <w:right w:type="dxa" w:w="100"/>
            </w:tcMar>
          </w:tcPr>
          <w:p>
            <w:pPr>
              <w:spacing w:after="40" w:before="40"/>
            </w:pPr>
            <w:r>
              <w:rPr>
                <w:b/>
                <w:bCs/>
                <w:color w:val="000000"/>
                <w:sz w:val="18"/>
                <w:szCs w:val="18"/>
              </w:rPr>
              <w:t xml:space="preserve">Marktpotenzial Deutschland</w:t>
            </w:r>
          </w:p>
        </w:tc>
        <w:tc>
          <w:tcPr>
            <w:tcW w:type="dxa" w:w="2000"/>
            <w:shd w:fill="FFFFFF" w:val="clear"/>
            <w:tcMar>
              <w:top w:type="dxa" w:w="60"/>
              <w:left w:type="dxa" w:w="100"/>
              <w:bottom w:type="dxa" w:w="60"/>
              <w:right w:type="dxa" w:w="100"/>
            </w:tcMar>
          </w:tcPr>
          <w:p>
            <w:pPr>
              <w:spacing w:after="40" w:before="40"/>
            </w:pPr>
            <w:r>
              <w:rPr>
                <w:b/>
                <w:bCs/>
                <w:color w:val="000000"/>
                <w:sz w:val="18"/>
                <w:szCs w:val="18"/>
              </w:rPr>
              <w:t xml:space="preserve">≈ 5,05 Mrd. €/Jahr</w:t>
            </w:r>
          </w:p>
        </w:tc>
        <w:tc>
          <w:tcPr>
            <w:tcW w:type="dxa" w:w="4220"/>
            <w:shd w:fill="FFFFFF" w:val="clear"/>
            <w:tcMar>
              <w:top w:type="dxa" w:w="60"/>
              <w:left w:type="dxa" w:w="100"/>
              <w:bottom w:type="dxa" w:w="60"/>
              <w:right w:type="dxa" w:w="100"/>
            </w:tcMar>
          </w:tcPr>
          <w:p>
            <w:pPr>
              <w:spacing w:after="40" w:before="40"/>
            </w:pPr>
            <w:r>
              <w:rPr>
                <w:b w:val="false"/>
                <w:bCs w:val="false"/>
                <w:color w:val="000000"/>
                <w:sz w:val="18"/>
                <w:szCs w:val="18"/>
              </w:rPr>
              <w:t xml:space="preserve">32,4 Mio. × 12,99 € × 12</w:t>
            </w:r>
          </w:p>
        </w:tc>
      </w:tr>
      <w:tr>
        <w:tc>
          <w:tcPr>
            <w:tcW w:type="dxa" w:w="2800"/>
            <w:shd w:fill="F2F4F3" w:val="clear"/>
            <w:tcMar>
              <w:top w:type="dxa" w:w="60"/>
              <w:left w:type="dxa" w:w="100"/>
              <w:bottom w:type="dxa" w:w="60"/>
              <w:right w:type="dxa" w:w="100"/>
            </w:tcMar>
          </w:tcPr>
          <w:p>
            <w:pPr>
              <w:spacing w:after="40" w:before="40"/>
            </w:pPr>
            <w:r>
              <w:rPr>
                <w:b/>
                <w:bCs/>
                <w:color w:val="000000"/>
                <w:sz w:val="18"/>
                <w:szCs w:val="18"/>
              </w:rPr>
              <w:t xml:space="preserve">Marktvolumen Deutschland</w:t>
            </w:r>
          </w:p>
        </w:tc>
        <w:tc>
          <w:tcPr>
            <w:tcW w:type="dxa" w:w="2000"/>
            <w:shd w:fill="F2F4F3" w:val="clear"/>
            <w:tcMar>
              <w:top w:type="dxa" w:w="60"/>
              <w:left w:type="dxa" w:w="100"/>
              <w:bottom w:type="dxa" w:w="60"/>
              <w:right w:type="dxa" w:w="100"/>
            </w:tcMar>
          </w:tcPr>
          <w:p>
            <w:pPr>
              <w:spacing w:after="40" w:before="40"/>
            </w:pPr>
            <w:r>
              <w:rPr>
                <w:b/>
                <w:bCs/>
                <w:color w:val="000000"/>
                <w:sz w:val="18"/>
                <w:szCs w:val="18"/>
              </w:rPr>
              <w:t xml:space="preserve">≈ 2,04 Mrd. €</w:t>
            </w:r>
          </w:p>
        </w:tc>
        <w:tc>
          <w:tcPr>
            <w:tcW w:type="dxa" w:w="4220"/>
            <w:shd w:fill="F2F4F3" w:val="clear"/>
            <w:tcMar>
              <w:top w:type="dxa" w:w="60"/>
              <w:left w:type="dxa" w:w="100"/>
              <w:bottom w:type="dxa" w:w="60"/>
              <w:right w:type="dxa" w:w="100"/>
            </w:tcMar>
          </w:tcPr>
          <w:p>
            <w:pPr>
              <w:spacing w:after="40" w:before="40"/>
            </w:pPr>
            <w:r>
              <w:rPr>
                <w:b w:val="false"/>
                <w:bCs w:val="false"/>
                <w:color w:val="000000"/>
                <w:sz w:val="18"/>
                <w:szCs w:val="18"/>
              </w:rPr>
              <w:t xml:space="preserve">BVMI 2025: Handelsumsatz 2,42 Mrd. €, davon 84,4 % Streaming</w:t>
            </w:r>
          </w:p>
        </w:tc>
      </w:tr>
      <w:tr>
        <w:tc>
          <w:tcPr>
            <w:tcW w:type="dxa" w:w="2800"/>
            <w:shd w:fill="FFFFFF" w:val="clear"/>
            <w:tcMar>
              <w:top w:type="dxa" w:w="60"/>
              <w:left w:type="dxa" w:w="100"/>
              <w:bottom w:type="dxa" w:w="60"/>
              <w:right w:type="dxa" w:w="100"/>
            </w:tcMar>
          </w:tcPr>
          <w:p>
            <w:pPr>
              <w:spacing w:after="40" w:before="40"/>
            </w:pPr>
            <w:r>
              <w:rPr>
                <w:b/>
                <w:bCs/>
                <w:color w:val="000000"/>
                <w:sz w:val="18"/>
                <w:szCs w:val="18"/>
              </w:rPr>
              <w:t xml:space="preserve">Marktausschöpfungsgrad</w:t>
            </w:r>
          </w:p>
        </w:tc>
        <w:tc>
          <w:tcPr>
            <w:tcW w:type="dxa" w:w="2000"/>
            <w:shd w:fill="FFFFFF" w:val="clear"/>
            <w:tcMar>
              <w:top w:type="dxa" w:w="60"/>
              <w:left w:type="dxa" w:w="100"/>
              <w:bottom w:type="dxa" w:w="60"/>
              <w:right w:type="dxa" w:w="100"/>
            </w:tcMar>
          </w:tcPr>
          <w:p>
            <w:pPr>
              <w:spacing w:after="40" w:before="40"/>
            </w:pPr>
            <w:r>
              <w:rPr>
                <w:b/>
                <w:bCs/>
                <w:color w:val="000000"/>
                <w:sz w:val="18"/>
                <w:szCs w:val="18"/>
              </w:rPr>
              <w:t xml:space="preserve">≈ 40 %</w:t>
            </w:r>
          </w:p>
        </w:tc>
        <w:tc>
          <w:tcPr>
            <w:tcW w:type="dxa" w:w="4220"/>
            <w:shd w:fill="FFFFFF" w:val="clear"/>
            <w:tcMar>
              <w:top w:type="dxa" w:w="60"/>
              <w:left w:type="dxa" w:w="100"/>
              <w:bottom w:type="dxa" w:w="60"/>
              <w:right w:type="dxa" w:w="100"/>
            </w:tcMar>
          </w:tcPr>
          <w:p>
            <w:pPr>
              <w:spacing w:after="40" w:before="40"/>
            </w:pPr>
            <w:r>
              <w:rPr>
                <w:b w:val="false"/>
                <w:bCs w:val="false"/>
                <w:color w:val="000000"/>
                <w:sz w:val="18"/>
                <w:szCs w:val="18"/>
              </w:rPr>
              <w:t xml:space="preserve">Marktvolumen ÷ Marktpotenzial</w:t>
            </w:r>
          </w:p>
        </w:tc>
      </w:tr>
    </w:tbl>
    <w:p>
      <w:pPr>
        <w:pBdr>
          <w:left w:val="single" w:color="1A6B4C" w:sz="18" w:space="8"/>
        </w:pBdr>
        <w:shd w:fill="F2F4F3" w:val="clear"/>
        <w:spacing w:after="160" w:before="120" w:line="276"/>
        <w:ind w:left="120" w:right="120"/>
      </w:pPr>
      <w:r>
        <w:rPr>
          <w:b/>
          <w:bCs/>
        </w:rPr>
        <w:t xml:space="preserve">Diese Rechnung gehört genau so in den Bericht – inklusive ihrer Schwächen.</w:t>
      </w:r>
      <w:r>
        <w:t xml:space="preserve"> Der BVMI-Handelsumsatz umfasst Audio- </w:t>
      </w:r>
      <w:r>
        <w:rPr>
          <w:b/>
          <w:bCs/>
        </w:rPr>
        <w:t xml:space="preserve">und</w:t>
      </w:r>
      <w:r>
        <w:t xml:space="preserve"> Video-Streaming sowie werbefinanzierte Erlöse und ist deshalb nicht deckungsgleich mit den Abo-Ausgaben privater Haushalte; die Wochenreichweite schließt Gratisnutzende ein; der Referenzpreis unterstellt, dass alle ein Einzelabo wählen, obwohl Familientarife den effektiven Preis pro Person deutlich senken. Wer diese drei Einschränkungen offen benennt und die Zahl trotzdem als begründete Näherung verteidigt, erfüllt das Kriterium „Verwendung und Einordnung systematischer Forschungsmethoden“. Wer die Zahl ohne Kommentar hinschreibt, verfehlt es.</w:t>
      </w:r>
    </w:p>
    <w:p>
      <w:pPr>
        <w:spacing w:after="120" w:line="276"/>
        <w:jc w:val="both"/>
      </w:pPr>
      <w:r>
        <w:t xml:space="preserve">Der Ausschöpfungsgrad von rund 40 Prozent ist die zentrale Zahl für die gesamte Arbeit: Er zeigt, dass der deutsche Markt weder gesättigt noch leicht auszuschöpfen ist – das verbleibende Potenzial liegt gerade bei den Gratisnutzenden, deren Zahlungsbereitschaft unter dem aktuellen Spotify-Preis liegt.</w:t>
      </w:r>
    </w:p>
    <w:p>
      <w:pPr>
        <w:pStyle w:val="Heading2"/>
        <w:spacing w:after="120" w:before="280"/>
      </w:pPr>
      <w:r>
        <w:t xml:space="preserve">5.4 Das Wettbewerbsumfeld</w:t>
      </w:r>
    </w:p>
    <w:p>
      <w:pPr>
        <w:spacing w:after="80" w:line="276"/>
        <w:jc w:val="both"/>
      </w:pPr>
      <w:r>
        <w:rPr>
          <w:b/>
          <w:bCs/>
        </w:rPr>
        <w:t xml:space="preserve">Preise in Deutschland, Stand 24. August 2026 (Monatspreise):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300"/>
        <w:gridCol w:w="1200"/>
        <w:gridCol w:w="1100"/>
        <w:gridCol w:w="1420"/>
      </w:tblGrid>
      <w:tr>
        <w:trPr>
          <w:tblHeader/>
        </w:trPr>
        <w:tc>
          <w:tcPr>
            <w:tcW w:type="dxa" w:w="2100"/>
            <w:shd w:fill="1A6B4C" w:val="clear"/>
            <w:tcMar>
              <w:top w:type="dxa" w:w="60"/>
              <w:left w:type="dxa" w:w="100"/>
              <w:bottom w:type="dxa" w:w="60"/>
              <w:right w:type="dxa" w:w="100"/>
            </w:tcMar>
          </w:tcPr>
          <w:p>
            <w:pPr>
              <w:spacing w:after="40" w:before="40"/>
            </w:pPr>
            <w:r>
              <w:rPr>
                <w:b/>
                <w:bCs/>
                <w:color w:val="FFFFFF"/>
                <w:sz w:val="18"/>
                <w:szCs w:val="18"/>
              </w:rPr>
              <w:t xml:space="preserve">Anbieter</w:t>
            </w:r>
          </w:p>
        </w:tc>
        <w:tc>
          <w:tcPr>
            <w:tcW w:type="dxa" w:w="1900"/>
            <w:shd w:fill="1A6B4C" w:val="clear"/>
            <w:tcMar>
              <w:top w:type="dxa" w:w="60"/>
              <w:left w:type="dxa" w:w="100"/>
              <w:bottom w:type="dxa" w:w="60"/>
              <w:right w:type="dxa" w:w="100"/>
            </w:tcMar>
          </w:tcPr>
          <w:p>
            <w:pPr>
              <w:spacing w:after="40" w:before="40"/>
            </w:pPr>
            <w:r>
              <w:rPr>
                <w:b/>
                <w:bCs/>
                <w:color w:val="FFFFFF"/>
                <w:sz w:val="18"/>
                <w:szCs w:val="18"/>
              </w:rPr>
              <w:t xml:space="preserve">Einzel</w:t>
            </w:r>
          </w:p>
        </w:tc>
        <w:tc>
          <w:tcPr>
            <w:tcW w:type="dxa" w:w="1300"/>
            <w:shd w:fill="1A6B4C" w:val="clear"/>
            <w:tcMar>
              <w:top w:type="dxa" w:w="60"/>
              <w:left w:type="dxa" w:w="100"/>
              <w:bottom w:type="dxa" w:w="60"/>
              <w:right w:type="dxa" w:w="100"/>
            </w:tcMar>
          </w:tcPr>
          <w:p>
            <w:pPr>
              <w:spacing w:after="40" w:before="40"/>
            </w:pPr>
            <w:r>
              <w:rPr>
                <w:b/>
                <w:bCs/>
                <w:color w:val="FFFFFF"/>
                <w:sz w:val="18"/>
                <w:szCs w:val="18"/>
              </w:rPr>
              <w:t xml:space="preserve">Family</w:t>
            </w:r>
          </w:p>
        </w:tc>
        <w:tc>
          <w:tcPr>
            <w:tcW w:type="dxa" w:w="1200"/>
            <w:shd w:fill="1A6B4C" w:val="clear"/>
            <w:tcMar>
              <w:top w:type="dxa" w:w="60"/>
              <w:left w:type="dxa" w:w="100"/>
              <w:bottom w:type="dxa" w:w="60"/>
              <w:right w:type="dxa" w:w="100"/>
            </w:tcMar>
          </w:tcPr>
          <w:p>
            <w:pPr>
              <w:spacing w:after="40" w:before="40"/>
            </w:pPr>
            <w:r>
              <w:rPr>
                <w:b/>
                <w:bCs/>
                <w:color w:val="FFFFFF"/>
                <w:sz w:val="18"/>
                <w:szCs w:val="18"/>
              </w:rPr>
              <w:t xml:space="preserve">Student</w:t>
            </w:r>
          </w:p>
        </w:tc>
        <w:tc>
          <w:tcPr>
            <w:tcW w:type="dxa" w:w="1100"/>
            <w:shd w:fill="1A6B4C" w:val="clear"/>
            <w:tcMar>
              <w:top w:type="dxa" w:w="60"/>
              <w:left w:type="dxa" w:w="100"/>
              <w:bottom w:type="dxa" w:w="60"/>
              <w:right w:type="dxa" w:w="100"/>
            </w:tcMar>
          </w:tcPr>
          <w:p>
            <w:pPr>
              <w:spacing w:after="40" w:before="40"/>
            </w:pPr>
            <w:r>
              <w:rPr>
                <w:b/>
                <w:bCs/>
                <w:color w:val="FFFFFF"/>
                <w:sz w:val="18"/>
                <w:szCs w:val="18"/>
              </w:rPr>
              <w:t xml:space="preserve">Gratis-Tarif</w:t>
            </w:r>
          </w:p>
        </w:tc>
        <w:tc>
          <w:tcPr>
            <w:tcW w:type="dxa" w:w="1420"/>
            <w:shd w:fill="1A6B4C" w:val="clear"/>
            <w:tcMar>
              <w:top w:type="dxa" w:w="60"/>
              <w:left w:type="dxa" w:w="100"/>
              <w:bottom w:type="dxa" w:w="60"/>
              <w:right w:type="dxa" w:w="100"/>
            </w:tcMar>
          </w:tcPr>
          <w:p>
            <w:pPr>
              <w:spacing w:after="40" w:before="40"/>
            </w:pPr>
            <w:r>
              <w:rPr>
                <w:b/>
                <w:bCs/>
                <w:color w:val="FFFFFF"/>
                <w:sz w:val="18"/>
                <w:szCs w:val="18"/>
              </w:rPr>
              <w:t xml:space="preserve">Letzte Erhöhung</w:t>
            </w:r>
          </w:p>
        </w:tc>
      </w:tr>
      <w:tr>
        <w:tc>
          <w:tcPr>
            <w:tcW w:type="dxa" w:w="2100"/>
            <w:shd w:fill="FFFFFF" w:val="clear"/>
            <w:tcMar>
              <w:top w:type="dxa" w:w="60"/>
              <w:left w:type="dxa" w:w="100"/>
              <w:bottom w:type="dxa" w:w="60"/>
              <w:right w:type="dxa" w:w="100"/>
            </w:tcMar>
          </w:tcPr>
          <w:p>
            <w:pPr>
              <w:spacing w:after="40" w:before="40"/>
            </w:pPr>
            <w:r>
              <w:rPr>
                <w:b/>
                <w:bCs/>
                <w:color w:val="000000"/>
                <w:sz w:val="18"/>
                <w:szCs w:val="18"/>
              </w:rPr>
              <w:t xml:space="preserve">Spotify</w:t>
            </w:r>
          </w:p>
        </w:tc>
        <w:tc>
          <w:tcPr>
            <w:tcW w:type="dxa" w:w="1900"/>
            <w:shd w:fill="FFFFFF" w:val="clear"/>
            <w:tcMar>
              <w:top w:type="dxa" w:w="60"/>
              <w:left w:type="dxa" w:w="100"/>
              <w:bottom w:type="dxa" w:w="60"/>
              <w:right w:type="dxa" w:w="100"/>
            </w:tcMar>
          </w:tcPr>
          <w:p>
            <w:pPr>
              <w:spacing w:after="40" w:before="40"/>
            </w:pPr>
            <w:r>
              <w:rPr>
                <w:b/>
                <w:bCs/>
                <w:color w:val="000000"/>
                <w:sz w:val="18"/>
                <w:szCs w:val="18"/>
              </w:rPr>
              <w:t xml:space="preserve">12,99 €</w:t>
            </w:r>
          </w:p>
        </w:tc>
        <w:tc>
          <w:tcPr>
            <w:tcW w:type="dxa" w:w="1300"/>
            <w:shd w:fill="FFFFFF" w:val="clear"/>
            <w:tcMar>
              <w:top w:type="dxa" w:w="60"/>
              <w:left w:type="dxa" w:w="100"/>
              <w:bottom w:type="dxa" w:w="60"/>
              <w:right w:type="dxa" w:w="100"/>
            </w:tcMar>
          </w:tcPr>
          <w:p>
            <w:pPr>
              <w:spacing w:after="40" w:before="40"/>
            </w:pPr>
            <w:r>
              <w:rPr>
                <w:b w:val="false"/>
                <w:bCs w:val="false"/>
                <w:color w:val="000000"/>
                <w:sz w:val="18"/>
                <w:szCs w:val="18"/>
              </w:rPr>
              <w:t xml:space="preserve">21,99 €</w:t>
            </w:r>
          </w:p>
        </w:tc>
        <w:tc>
          <w:tcPr>
            <w:tcW w:type="dxa" w:w="1200"/>
            <w:shd w:fill="FFFFFF" w:val="clear"/>
            <w:tcMar>
              <w:top w:type="dxa" w:w="60"/>
              <w:left w:type="dxa" w:w="100"/>
              <w:bottom w:type="dxa" w:w="60"/>
              <w:right w:type="dxa" w:w="100"/>
            </w:tcMar>
          </w:tcPr>
          <w:p>
            <w:pPr>
              <w:spacing w:after="40" w:before="40"/>
            </w:pPr>
            <w:r>
              <w:rPr>
                <w:b w:val="false"/>
                <w:bCs w:val="false"/>
                <w:color w:val="000000"/>
                <w:sz w:val="18"/>
                <w:szCs w:val="18"/>
              </w:rPr>
              <w:t xml:space="preserve">6,99 €</w:t>
            </w:r>
          </w:p>
        </w:tc>
        <w:tc>
          <w:tcPr>
            <w:tcW w:type="dxa" w:w="1100"/>
            <w:shd w:fill="FFFFFF" w:val="clear"/>
            <w:tcMar>
              <w:top w:type="dxa" w:w="60"/>
              <w:left w:type="dxa" w:w="100"/>
              <w:bottom w:type="dxa" w:w="60"/>
              <w:right w:type="dxa" w:w="100"/>
            </w:tcMar>
          </w:tcPr>
          <w:p>
            <w:pPr>
              <w:spacing w:after="40" w:before="40"/>
            </w:pPr>
            <w:r>
              <w:rPr>
                <w:b w:val="false"/>
                <w:bCs w:val="false"/>
                <w:color w:val="000000"/>
                <w:sz w:val="18"/>
                <w:szCs w:val="18"/>
              </w:rPr>
              <w:t xml:space="preserve">ja</w:t>
            </w:r>
          </w:p>
        </w:tc>
        <w:tc>
          <w:tcPr>
            <w:tcW w:type="dxa" w:w="1420"/>
            <w:shd w:fill="FFFFFF" w:val="clear"/>
            <w:tcMar>
              <w:top w:type="dxa" w:w="60"/>
              <w:left w:type="dxa" w:w="100"/>
              <w:bottom w:type="dxa" w:w="60"/>
              <w:right w:type="dxa" w:w="100"/>
            </w:tcMar>
          </w:tcPr>
          <w:p>
            <w:pPr>
              <w:spacing w:after="40" w:before="40"/>
            </w:pPr>
            <w:r>
              <w:rPr>
                <w:b w:val="false"/>
                <w:bCs w:val="false"/>
                <w:color w:val="000000"/>
                <w:sz w:val="18"/>
                <w:szCs w:val="18"/>
              </w:rPr>
              <w:t xml:space="preserve">14.08.2025 (von 10,99 €)</w:t>
            </w:r>
          </w:p>
        </w:tc>
      </w:tr>
      <w:tr>
        <w:tc>
          <w:tcPr>
            <w:tcW w:type="dxa" w:w="2100"/>
            <w:shd w:fill="F2F4F3" w:val="clear"/>
            <w:tcMar>
              <w:top w:type="dxa" w:w="60"/>
              <w:left w:type="dxa" w:w="100"/>
              <w:bottom w:type="dxa" w:w="60"/>
              <w:right w:type="dxa" w:w="100"/>
            </w:tcMar>
          </w:tcPr>
          <w:p>
            <w:pPr>
              <w:spacing w:after="40" w:before="40"/>
            </w:pPr>
            <w:r>
              <w:rPr>
                <w:b w:val="false"/>
                <w:bCs w:val="false"/>
                <w:color w:val="000000"/>
                <w:sz w:val="18"/>
                <w:szCs w:val="18"/>
              </w:rPr>
              <w:t xml:space="preserve">Tidal</w:t>
            </w:r>
          </w:p>
        </w:tc>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12,99 €</w:t>
            </w:r>
          </w:p>
        </w:tc>
        <w:tc>
          <w:tcPr>
            <w:tcW w:type="dxa" w:w="1300"/>
            <w:shd w:fill="F2F4F3" w:val="clear"/>
            <w:tcMar>
              <w:top w:type="dxa" w:w="60"/>
              <w:left w:type="dxa" w:w="100"/>
              <w:bottom w:type="dxa" w:w="60"/>
              <w:right w:type="dxa" w:w="100"/>
            </w:tcMar>
          </w:tcPr>
          <w:p>
            <w:pPr>
              <w:spacing w:after="40" w:before="40"/>
            </w:pPr>
            <w:r>
              <w:rPr>
                <w:b w:val="false"/>
                <w:bCs w:val="false"/>
                <w:color w:val="000000"/>
                <w:sz w:val="18"/>
                <w:szCs w:val="18"/>
              </w:rPr>
              <w:t xml:space="preserve">21,99 €</w:t>
            </w:r>
          </w:p>
        </w:tc>
        <w:tc>
          <w:tcPr>
            <w:tcW w:type="dxa" w:w="1200"/>
            <w:shd w:fill="F2F4F3" w:val="clear"/>
            <w:tcMar>
              <w:top w:type="dxa" w:w="60"/>
              <w:left w:type="dxa" w:w="100"/>
              <w:bottom w:type="dxa" w:w="60"/>
              <w:right w:type="dxa" w:w="100"/>
            </w:tcMar>
          </w:tcPr>
          <w:p>
            <w:pPr>
              <w:spacing w:after="40" w:before="40"/>
            </w:pPr>
            <w:r>
              <w:rPr>
                <w:b w:val="false"/>
                <w:bCs w:val="false"/>
                <w:color w:val="000000"/>
                <w:sz w:val="18"/>
                <w:szCs w:val="18"/>
              </w:rPr>
              <w:t xml:space="preserve">5,49 €</w:t>
            </w:r>
          </w:p>
        </w:tc>
        <w:tc>
          <w:tcPr>
            <w:tcW w:type="dxa" w:w="1100"/>
            <w:shd w:fill="F2F4F3" w:val="clear"/>
            <w:tcMar>
              <w:top w:type="dxa" w:w="60"/>
              <w:left w:type="dxa" w:w="100"/>
              <w:bottom w:type="dxa" w:w="60"/>
              <w:right w:type="dxa" w:w="100"/>
            </w:tcMar>
          </w:tcPr>
          <w:p>
            <w:pPr>
              <w:spacing w:after="40" w:before="40"/>
            </w:pPr>
            <w:r>
              <w:rPr>
                <w:b w:val="false"/>
                <w:bCs w:val="false"/>
                <w:color w:val="000000"/>
                <w:sz w:val="18"/>
                <w:szCs w:val="18"/>
              </w:rPr>
              <w:t xml:space="preserve">nein</w:t>
            </w:r>
          </w:p>
        </w:tc>
        <w:tc>
          <w:tcPr>
            <w:tcW w:type="dxa" w:w="1420"/>
            <w:shd w:fill="F2F4F3" w:val="clear"/>
            <w:tcMar>
              <w:top w:type="dxa" w:w="60"/>
              <w:left w:type="dxa" w:w="100"/>
              <w:bottom w:type="dxa" w:w="60"/>
              <w:right w:type="dxa" w:w="100"/>
            </w:tcMar>
          </w:tcPr>
          <w:p>
            <w:pPr>
              <w:spacing w:after="40" w:before="40"/>
            </w:pPr>
            <w:r>
              <w:rPr>
                <w:b w:val="false"/>
                <w:bCs w:val="false"/>
                <w:color w:val="000000"/>
                <w:sz w:val="18"/>
                <w:szCs w:val="18"/>
              </w:rPr>
              <w:t xml:space="preserve">03.08.2026 (von 10,99 €)</w:t>
            </w:r>
          </w:p>
        </w:tc>
      </w:tr>
      <w:tr>
        <w:tc>
          <w:tcPr>
            <w:tcW w:type="dxa" w:w="2100"/>
            <w:shd w:fill="FFFFFF" w:val="clear"/>
            <w:tcMar>
              <w:top w:type="dxa" w:w="60"/>
              <w:left w:type="dxa" w:w="100"/>
              <w:bottom w:type="dxa" w:w="60"/>
              <w:right w:type="dxa" w:w="100"/>
            </w:tcMar>
          </w:tcPr>
          <w:p>
            <w:pPr>
              <w:spacing w:after="40" w:before="40"/>
            </w:pPr>
            <w:r>
              <w:rPr>
                <w:b w:val="false"/>
                <w:bCs w:val="false"/>
                <w:color w:val="000000"/>
                <w:sz w:val="18"/>
                <w:szCs w:val="18"/>
              </w:rPr>
              <w:t xml:space="preserve">Apple Music</w:t>
            </w:r>
          </w:p>
        </w:tc>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11,99 €</w:t>
            </w:r>
          </w:p>
        </w:tc>
        <w:tc>
          <w:tcPr>
            <w:tcW w:type="dxa" w:w="1300"/>
            <w:shd w:fill="FFFFFF" w:val="clear"/>
            <w:tcMar>
              <w:top w:type="dxa" w:w="60"/>
              <w:left w:type="dxa" w:w="100"/>
              <w:bottom w:type="dxa" w:w="60"/>
              <w:right w:type="dxa" w:w="100"/>
            </w:tcMar>
          </w:tcPr>
          <w:p>
            <w:pPr>
              <w:spacing w:after="40" w:before="40"/>
            </w:pPr>
            <w:r>
              <w:rPr>
                <w:b w:val="false"/>
                <w:bCs w:val="false"/>
                <w:color w:val="000000"/>
                <w:sz w:val="18"/>
                <w:szCs w:val="18"/>
              </w:rPr>
              <w:t xml:space="preserve">19,99 €</w:t>
            </w:r>
          </w:p>
        </w:tc>
        <w:tc>
          <w:tcPr>
            <w:tcW w:type="dxa" w:w="1200"/>
            <w:shd w:fill="FFFFFF" w:val="clear"/>
            <w:tcMar>
              <w:top w:type="dxa" w:w="60"/>
              <w:left w:type="dxa" w:w="100"/>
              <w:bottom w:type="dxa" w:w="60"/>
              <w:right w:type="dxa" w:w="100"/>
            </w:tcMar>
          </w:tcPr>
          <w:p>
            <w:pPr>
              <w:spacing w:after="40" w:before="40"/>
            </w:pPr>
            <w:r>
              <w:rPr>
                <w:b w:val="false"/>
                <w:bCs w:val="false"/>
                <w:color w:val="000000"/>
                <w:sz w:val="18"/>
                <w:szCs w:val="18"/>
              </w:rPr>
              <w:t xml:space="preserve">6,99 €</w:t>
            </w:r>
          </w:p>
        </w:tc>
        <w:tc>
          <w:tcPr>
            <w:tcW w:type="dxa" w:w="1100"/>
            <w:shd w:fill="FFFFFF" w:val="clear"/>
            <w:tcMar>
              <w:top w:type="dxa" w:w="60"/>
              <w:left w:type="dxa" w:w="100"/>
              <w:bottom w:type="dxa" w:w="60"/>
              <w:right w:type="dxa" w:w="100"/>
            </w:tcMar>
          </w:tcPr>
          <w:p>
            <w:pPr>
              <w:spacing w:after="40" w:before="40"/>
            </w:pPr>
            <w:r>
              <w:rPr>
                <w:b w:val="false"/>
                <w:bCs w:val="false"/>
                <w:color w:val="000000"/>
                <w:sz w:val="18"/>
                <w:szCs w:val="18"/>
              </w:rPr>
              <w:t xml:space="preserve">nein</w:t>
            </w:r>
          </w:p>
        </w:tc>
        <w:tc>
          <w:tcPr>
            <w:tcW w:type="dxa" w:w="1420"/>
            <w:shd w:fill="FFFFFF" w:val="clear"/>
            <w:tcMar>
              <w:top w:type="dxa" w:w="60"/>
              <w:left w:type="dxa" w:w="100"/>
              <w:bottom w:type="dxa" w:w="60"/>
              <w:right w:type="dxa" w:w="100"/>
            </w:tcMar>
          </w:tcPr>
          <w:p>
            <w:pPr>
              <w:spacing w:after="40" w:before="40"/>
            </w:pPr>
            <w:r>
              <w:rPr>
                <w:b w:val="false"/>
                <w:bCs w:val="false"/>
                <w:color w:val="000000"/>
                <w:sz w:val="18"/>
                <w:szCs w:val="18"/>
              </w:rPr>
              <w:t xml:space="preserve">18.07.2026 (von 10,99 €)</w:t>
            </w:r>
          </w:p>
        </w:tc>
      </w:tr>
      <w:tr>
        <w:tc>
          <w:tcPr>
            <w:tcW w:type="dxa" w:w="2100"/>
            <w:shd w:fill="F2F4F3" w:val="clear"/>
            <w:tcMar>
              <w:top w:type="dxa" w:w="60"/>
              <w:left w:type="dxa" w:w="100"/>
              <w:bottom w:type="dxa" w:w="60"/>
              <w:right w:type="dxa" w:w="100"/>
            </w:tcMar>
          </w:tcPr>
          <w:p>
            <w:pPr>
              <w:spacing w:after="40" w:before="40"/>
            </w:pPr>
            <w:r>
              <w:rPr>
                <w:b w:val="false"/>
                <w:bCs w:val="false"/>
                <w:color w:val="000000"/>
                <w:sz w:val="18"/>
                <w:szCs w:val="18"/>
              </w:rPr>
              <w:t xml:space="preserve">YouTube Music</w:t>
            </w:r>
          </w:p>
        </w:tc>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11,99 €</w:t>
            </w:r>
          </w:p>
        </w:tc>
        <w:tc>
          <w:tcPr>
            <w:tcW w:type="dxa" w:w="1300"/>
            <w:shd w:fill="F2F4F3" w:val="clear"/>
            <w:tcMar>
              <w:top w:type="dxa" w:w="60"/>
              <w:left w:type="dxa" w:w="100"/>
              <w:bottom w:type="dxa" w:w="60"/>
              <w:right w:type="dxa" w:w="100"/>
            </w:tcMar>
          </w:tcPr>
          <w:p>
            <w:pPr>
              <w:spacing w:after="40" w:before="40"/>
            </w:pPr>
            <w:r>
              <w:rPr>
                <w:b w:val="false"/>
                <w:bCs w:val="false"/>
                <w:color w:val="000000"/>
                <w:sz w:val="18"/>
                <w:szCs w:val="18"/>
              </w:rPr>
              <w:t xml:space="preserve">18,99 €</w:t>
            </w:r>
          </w:p>
        </w:tc>
        <w:tc>
          <w:tcPr>
            <w:tcW w:type="dxa" w:w="1200"/>
            <w:shd w:fill="F2F4F3" w:val="clear"/>
            <w:tcMar>
              <w:top w:type="dxa" w:w="60"/>
              <w:left w:type="dxa" w:w="100"/>
              <w:bottom w:type="dxa" w:w="60"/>
              <w:right w:type="dxa" w:w="100"/>
            </w:tcMar>
          </w:tcPr>
          <w:p>
            <w:pPr>
              <w:spacing w:after="40" w:before="40"/>
            </w:pPr>
            <w:r>
              <w:rPr>
                <w:b w:val="false"/>
                <w:bCs w:val="false"/>
                <w:color w:val="000000"/>
                <w:sz w:val="18"/>
                <w:szCs w:val="18"/>
              </w:rPr>
              <w:t xml:space="preserve">5,99 €</w:t>
            </w:r>
          </w:p>
        </w:tc>
        <w:tc>
          <w:tcPr>
            <w:tcW w:type="dxa" w:w="1100"/>
            <w:shd w:fill="F2F4F3" w:val="clear"/>
            <w:tcMar>
              <w:top w:type="dxa" w:w="60"/>
              <w:left w:type="dxa" w:w="100"/>
              <w:bottom w:type="dxa" w:w="60"/>
              <w:right w:type="dxa" w:w="100"/>
            </w:tcMar>
          </w:tcPr>
          <w:p>
            <w:pPr>
              <w:spacing w:after="40" w:before="40"/>
            </w:pPr>
            <w:r>
              <w:rPr>
                <w:b w:val="false"/>
                <w:bCs w:val="false"/>
                <w:color w:val="000000"/>
                <w:sz w:val="18"/>
                <w:szCs w:val="18"/>
              </w:rPr>
              <w:t xml:space="preserve">ja</w:t>
            </w:r>
          </w:p>
        </w:tc>
        <w:tc>
          <w:tcPr>
            <w:tcW w:type="dxa" w:w="1420"/>
            <w:shd w:fill="F2F4F3" w:val="clear"/>
            <w:tcMar>
              <w:top w:type="dxa" w:w="60"/>
              <w:left w:type="dxa" w:w="100"/>
              <w:bottom w:type="dxa" w:w="60"/>
              <w:right w:type="dxa" w:w="100"/>
            </w:tcMar>
          </w:tcPr>
          <w:p>
            <w:pPr>
              <w:spacing w:after="40" w:before="40"/>
            </w:pPr>
            <w:r>
              <w:rPr>
                <w:b w:val="false"/>
                <w:bCs w:val="false"/>
                <w:color w:val="000000"/>
                <w:sz w:val="18"/>
                <w:szCs w:val="18"/>
              </w:rPr>
              <w:t xml:space="preserve">16.07.2026 (von 10,99 €)</w:t>
            </w:r>
          </w:p>
        </w:tc>
      </w:tr>
      <w:tr>
        <w:tc>
          <w:tcPr>
            <w:tcW w:type="dxa" w:w="2100"/>
            <w:shd w:fill="FFFFFF" w:val="clear"/>
            <w:tcMar>
              <w:top w:type="dxa" w:w="60"/>
              <w:left w:type="dxa" w:w="100"/>
              <w:bottom w:type="dxa" w:w="60"/>
              <w:right w:type="dxa" w:w="100"/>
            </w:tcMar>
          </w:tcPr>
          <w:p>
            <w:pPr>
              <w:spacing w:after="40" w:before="40"/>
            </w:pPr>
            <w:r>
              <w:rPr>
                <w:b w:val="false"/>
                <w:bCs w:val="false"/>
                <w:color w:val="000000"/>
                <w:sz w:val="18"/>
                <w:szCs w:val="18"/>
              </w:rPr>
              <w:t xml:space="preserve">Deezer</w:t>
            </w:r>
          </w:p>
        </w:tc>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11,99 €</w:t>
            </w:r>
          </w:p>
        </w:tc>
        <w:tc>
          <w:tcPr>
            <w:tcW w:type="dxa" w:w="1300"/>
            <w:shd w:fill="FFFFFF" w:val="clear"/>
            <w:tcMar>
              <w:top w:type="dxa" w:w="60"/>
              <w:left w:type="dxa" w:w="100"/>
              <w:bottom w:type="dxa" w:w="60"/>
              <w:right w:type="dxa" w:w="100"/>
            </w:tcMar>
          </w:tcPr>
          <w:p>
            <w:pPr>
              <w:spacing w:after="40" w:before="40"/>
            </w:pPr>
            <w:r>
              <w:rPr>
                <w:b w:val="false"/>
                <w:bCs w:val="false"/>
                <w:color w:val="000000"/>
                <w:sz w:val="18"/>
                <w:szCs w:val="18"/>
              </w:rPr>
              <w:t xml:space="preserve">19,99 €</w:t>
            </w:r>
          </w:p>
        </w:tc>
        <w:tc>
          <w:tcPr>
            <w:tcW w:type="dxa" w:w="1200"/>
            <w:shd w:fill="FFFFFF" w:val="clear"/>
            <w:tcMar>
              <w:top w:type="dxa" w:w="60"/>
              <w:left w:type="dxa" w:w="100"/>
              <w:bottom w:type="dxa" w:w="60"/>
              <w:right w:type="dxa" w:w="100"/>
            </w:tcMar>
          </w:tcPr>
          <w:p>
            <w:pPr>
              <w:spacing w:after="40" w:before="40"/>
            </w:pPr>
            <w:r>
              <w:rPr>
                <w:b w:val="false"/>
                <w:bCs w:val="false"/>
                <w:color w:val="000000"/>
                <w:sz w:val="18"/>
                <w:szCs w:val="18"/>
              </w:rPr>
              <w:t xml:space="preserve">5,99 €</w:t>
            </w:r>
          </w:p>
        </w:tc>
        <w:tc>
          <w:tcPr>
            <w:tcW w:type="dxa" w:w="1100"/>
            <w:shd w:fill="FFFFFF" w:val="clear"/>
            <w:tcMar>
              <w:top w:type="dxa" w:w="60"/>
              <w:left w:type="dxa" w:w="100"/>
              <w:bottom w:type="dxa" w:w="60"/>
              <w:right w:type="dxa" w:w="100"/>
            </w:tcMar>
          </w:tcPr>
          <w:p>
            <w:pPr>
              <w:spacing w:after="40" w:before="40"/>
            </w:pPr>
            <w:r>
              <w:rPr>
                <w:b w:val="false"/>
                <w:bCs w:val="false"/>
                <w:color w:val="000000"/>
                <w:sz w:val="18"/>
                <w:szCs w:val="18"/>
              </w:rPr>
              <w:t xml:space="preserve">ja</w:t>
            </w:r>
          </w:p>
        </w:tc>
        <w:tc>
          <w:tcPr>
            <w:tcW w:type="dxa" w:w="1420"/>
            <w:shd w:fill="FFFFFF" w:val="clear"/>
            <w:tcMar>
              <w:top w:type="dxa" w:w="60"/>
              <w:left w:type="dxa" w:w="100"/>
              <w:bottom w:type="dxa" w:w="60"/>
              <w:right w:type="dxa" w:w="100"/>
            </w:tcMar>
          </w:tcPr>
          <w:p>
            <w:pPr>
              <w:spacing w:after="40" w:before="40"/>
            </w:pPr>
            <w:r>
              <w:rPr>
                <w:b w:val="false"/>
                <w:bCs w:val="false"/>
                <w:color w:val="000000"/>
                <w:sz w:val="18"/>
                <w:szCs w:val="18"/>
              </w:rPr>
              <w:t xml:space="preserve">–</w:t>
            </w:r>
          </w:p>
        </w:tc>
      </w:tr>
      <w:tr>
        <w:tc>
          <w:tcPr>
            <w:tcW w:type="dxa" w:w="2100"/>
            <w:shd w:fill="F2F4F3" w:val="clear"/>
            <w:tcMar>
              <w:top w:type="dxa" w:w="60"/>
              <w:left w:type="dxa" w:w="100"/>
              <w:bottom w:type="dxa" w:w="60"/>
              <w:right w:type="dxa" w:w="100"/>
            </w:tcMar>
          </w:tcPr>
          <w:p>
            <w:pPr>
              <w:spacing w:after="40" w:before="40"/>
            </w:pPr>
            <w:r>
              <w:rPr>
                <w:b w:val="false"/>
                <w:bCs w:val="false"/>
                <w:color w:val="000000"/>
                <w:sz w:val="18"/>
                <w:szCs w:val="18"/>
              </w:rPr>
              <w:t xml:space="preserve">Amazon Music Unlimited</w:t>
            </w:r>
          </w:p>
        </w:tc>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10,99 € (9,99 € mit Prime)</w:t>
            </w:r>
          </w:p>
        </w:tc>
        <w:tc>
          <w:tcPr>
            <w:tcW w:type="dxa" w:w="1300"/>
            <w:shd w:fill="F2F4F3" w:val="clear"/>
            <w:tcMar>
              <w:top w:type="dxa" w:w="60"/>
              <w:left w:type="dxa" w:w="100"/>
              <w:bottom w:type="dxa" w:w="60"/>
              <w:right w:type="dxa" w:w="100"/>
            </w:tcMar>
          </w:tcPr>
          <w:p>
            <w:pPr>
              <w:spacing w:after="40" w:before="40"/>
            </w:pPr>
            <w:r>
              <w:rPr>
                <w:b w:val="false"/>
                <w:bCs w:val="false"/>
                <w:color w:val="000000"/>
                <w:sz w:val="18"/>
                <w:szCs w:val="18"/>
              </w:rPr>
              <w:t xml:space="preserve">16,99 €</w:t>
            </w:r>
          </w:p>
        </w:tc>
        <w:tc>
          <w:tcPr>
            <w:tcW w:type="dxa" w:w="1200"/>
            <w:shd w:fill="F2F4F3" w:val="clear"/>
            <w:tcMar>
              <w:top w:type="dxa" w:w="60"/>
              <w:left w:type="dxa" w:w="100"/>
              <w:bottom w:type="dxa" w:w="60"/>
              <w:right w:type="dxa" w:w="100"/>
            </w:tcMar>
          </w:tcPr>
          <w:p>
            <w:pPr>
              <w:spacing w:after="40" w:before="40"/>
            </w:pPr>
            <w:r>
              <w:rPr>
                <w:b w:val="false"/>
                <w:bCs w:val="false"/>
                <w:color w:val="000000"/>
                <w:sz w:val="18"/>
                <w:szCs w:val="18"/>
              </w:rPr>
              <w:t xml:space="preserve">5,99 €</w:t>
            </w:r>
          </w:p>
        </w:tc>
        <w:tc>
          <w:tcPr>
            <w:tcW w:type="dxa" w:w="1100"/>
            <w:shd w:fill="F2F4F3" w:val="clear"/>
            <w:tcMar>
              <w:top w:type="dxa" w:w="60"/>
              <w:left w:type="dxa" w:w="100"/>
              <w:bottom w:type="dxa" w:w="60"/>
              <w:right w:type="dxa" w:w="100"/>
            </w:tcMar>
          </w:tcPr>
          <w:p>
            <w:pPr>
              <w:spacing w:after="40" w:before="40"/>
            </w:pPr>
            <w:r>
              <w:rPr>
                <w:b w:val="false"/>
                <w:bCs w:val="false"/>
                <w:color w:val="000000"/>
                <w:sz w:val="18"/>
                <w:szCs w:val="18"/>
              </w:rPr>
              <w:t xml:space="preserve">ja</w:t>
            </w:r>
          </w:p>
        </w:tc>
        <w:tc>
          <w:tcPr>
            <w:tcW w:type="dxa" w:w="1420"/>
            <w:shd w:fill="F2F4F3" w:val="clear"/>
            <w:tcMar>
              <w:top w:type="dxa" w:w="60"/>
              <w:left w:type="dxa" w:w="100"/>
              <w:bottom w:type="dxa" w:w="60"/>
              <w:right w:type="dxa" w:w="100"/>
            </w:tcMar>
          </w:tcPr>
          <w:p>
            <w:pPr>
              <w:spacing w:after="40" w:before="40"/>
            </w:pPr>
            <w:r>
              <w:rPr>
                <w:b w:val="false"/>
                <w:bCs w:val="false"/>
                <w:color w:val="000000"/>
                <w:sz w:val="18"/>
                <w:szCs w:val="18"/>
              </w:rPr>
              <w:t xml:space="preserve">–</w:t>
            </w:r>
          </w:p>
        </w:tc>
      </w:tr>
    </w:tbl>
    <w:p>
      <w:pPr>
        <w:spacing w:after="80" w:line="276"/>
        <w:jc w:val="both"/>
      </w:pPr>
      <w:r>
        <w:rPr>
          <w:b/>
          <w:bCs/>
        </w:rPr>
        <w:t xml:space="preserve">Globale Anteile an bezahlten Abonnements (MIDiA Research):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0"/>
      </w:tblGrid>
      <w:tr>
        <w:trPr>
          <w:tblHeader/>
        </w:trPr>
        <w:tc>
          <w:tcPr>
            <w:tcW w:type="dxa" w:w="2600"/>
            <w:shd w:fill="1A6B4C" w:val="clear"/>
            <w:tcMar>
              <w:top w:type="dxa" w:w="60"/>
              <w:left w:type="dxa" w:w="100"/>
              <w:bottom w:type="dxa" w:w="60"/>
              <w:right w:type="dxa" w:w="100"/>
            </w:tcMar>
          </w:tcPr>
          <w:p>
            <w:pPr>
              <w:spacing w:after="40" w:before="40"/>
            </w:pPr>
            <w:r>
              <w:rPr>
                <w:b/>
                <w:bCs/>
                <w:color w:val="FFFFFF"/>
                <w:sz w:val="18"/>
                <w:szCs w:val="18"/>
              </w:rPr>
              <w:t xml:space="preserve">Anbieter</w:t>
            </w:r>
          </w:p>
        </w:tc>
        <w:tc>
          <w:tcPr>
            <w:tcW w:type="dxa" w:w="2200"/>
            <w:shd w:fill="1A6B4C" w:val="clear"/>
            <w:tcMar>
              <w:top w:type="dxa" w:w="60"/>
              <w:left w:type="dxa" w:w="100"/>
              <w:bottom w:type="dxa" w:w="60"/>
              <w:right w:type="dxa" w:w="100"/>
            </w:tcMar>
          </w:tcPr>
          <w:p>
            <w:pPr>
              <w:spacing w:after="40" w:before="40"/>
            </w:pPr>
            <w:r>
              <w:rPr>
                <w:b/>
                <w:bCs/>
                <w:color w:val="FFFFFF"/>
                <w:sz w:val="18"/>
                <w:szCs w:val="18"/>
              </w:rPr>
              <w:t xml:space="preserve">2024</w:t>
            </w:r>
          </w:p>
        </w:tc>
        <w:tc>
          <w:tcPr>
            <w:tcW w:type="dxa" w:w="2200"/>
            <w:shd w:fill="1A6B4C" w:val="clear"/>
            <w:tcMar>
              <w:top w:type="dxa" w:w="60"/>
              <w:left w:type="dxa" w:w="100"/>
              <w:bottom w:type="dxa" w:w="60"/>
              <w:right w:type="dxa" w:w="100"/>
            </w:tcMar>
          </w:tcPr>
          <w:p>
            <w:pPr>
              <w:spacing w:after="40" w:before="40"/>
            </w:pPr>
            <w:r>
              <w:rPr>
                <w:b/>
                <w:bCs/>
                <w:color w:val="FFFFFF"/>
                <w:sz w:val="18"/>
                <w:szCs w:val="18"/>
              </w:rPr>
              <w:t xml:space="preserve">Q4 2025</w:t>
            </w:r>
          </w:p>
        </w:tc>
        <w:tc>
          <w:tcPr>
            <w:tcW w:type="dxa" w:w="2020"/>
            <w:shd w:fill="1A6B4C" w:val="clear"/>
            <w:tcMar>
              <w:top w:type="dxa" w:w="60"/>
              <w:left w:type="dxa" w:w="100"/>
              <w:bottom w:type="dxa" w:w="60"/>
              <w:right w:type="dxa" w:w="100"/>
            </w:tcMar>
          </w:tcPr>
          <w:p>
            <w:pPr>
              <w:spacing w:after="40" w:before="40"/>
            </w:pPr>
            <w:r>
              <w:rPr>
                <w:b/>
                <w:bCs/>
                <w:color w:val="FFFFFF"/>
                <w:sz w:val="18"/>
                <w:szCs w:val="18"/>
              </w:rPr>
              <w:t xml:space="preserve">Veränderung</w:t>
            </w:r>
          </w:p>
        </w:tc>
      </w:tr>
      <w:tr>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Spotify</w:t>
            </w:r>
          </w:p>
        </w:tc>
        <w:tc>
          <w:tcPr>
            <w:tcW w:type="dxa" w:w="2200"/>
            <w:shd w:fill="FFFFFF" w:val="clear"/>
            <w:tcMar>
              <w:top w:type="dxa" w:w="60"/>
              <w:left w:type="dxa" w:w="100"/>
              <w:bottom w:type="dxa" w:w="60"/>
              <w:right w:type="dxa" w:w="100"/>
            </w:tcMar>
          </w:tcPr>
          <w:p>
            <w:pPr>
              <w:spacing w:after="40" w:before="40"/>
            </w:pPr>
            <w:r>
              <w:rPr>
                <w:b w:val="false"/>
                <w:bCs w:val="false"/>
                <w:color w:val="000000"/>
                <w:sz w:val="18"/>
                <w:szCs w:val="18"/>
              </w:rPr>
              <w:t xml:space="preserve">32,2 % (≈ 263 Mio.)</w:t>
            </w:r>
          </w:p>
        </w:tc>
        <w:tc>
          <w:tcPr>
            <w:tcW w:type="dxa" w:w="2200"/>
            <w:shd w:fill="FFFFFF" w:val="clear"/>
            <w:tcMar>
              <w:top w:type="dxa" w:w="60"/>
              <w:left w:type="dxa" w:w="100"/>
              <w:bottom w:type="dxa" w:w="60"/>
              <w:right w:type="dxa" w:w="100"/>
            </w:tcMar>
          </w:tcPr>
          <w:p>
            <w:pPr>
              <w:spacing w:after="40" w:before="40"/>
            </w:pPr>
            <w:r>
              <w:rPr>
                <w:b w:val="false"/>
                <w:bCs w:val="false"/>
                <w:color w:val="000000"/>
                <w:sz w:val="18"/>
                <w:szCs w:val="18"/>
              </w:rPr>
              <w:t xml:space="preserve">31,4 % (≈ 290 Mio.)</w:t>
            </w:r>
          </w:p>
        </w:tc>
        <w:tc>
          <w:tcPr>
            <w:tcW w:type="dxa" w:w="2020"/>
            <w:shd w:fill="FFFFFF" w:val="clear"/>
            <w:tcMar>
              <w:top w:type="dxa" w:w="60"/>
              <w:left w:type="dxa" w:w="100"/>
              <w:bottom w:type="dxa" w:w="60"/>
              <w:right w:type="dxa" w:w="100"/>
            </w:tcMar>
          </w:tcPr>
          <w:p>
            <w:pPr>
              <w:spacing w:after="40" w:before="40"/>
            </w:pPr>
            <w:r>
              <w:rPr>
                <w:b w:val="false"/>
                <w:bCs w:val="false"/>
                <w:color w:val="000000"/>
                <w:sz w:val="18"/>
                <w:szCs w:val="18"/>
              </w:rPr>
              <w:t xml:space="preserve">− 0,8 Prozentpunkte</w:t>
            </w:r>
          </w:p>
        </w:tc>
      </w:tr>
      <w:tr>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Tencent Music</w:t>
            </w:r>
          </w:p>
        </w:tc>
        <w:tc>
          <w:tcPr>
            <w:tcW w:type="dxa" w:w="2200"/>
            <w:shd w:fill="F2F4F3" w:val="clear"/>
            <w:tcMar>
              <w:top w:type="dxa" w:w="60"/>
              <w:left w:type="dxa" w:w="100"/>
              <w:bottom w:type="dxa" w:w="60"/>
              <w:right w:type="dxa" w:w="100"/>
            </w:tcMar>
          </w:tcPr>
          <w:p>
            <w:pPr>
              <w:spacing w:after="40" w:before="40"/>
            </w:pPr>
            <w:r>
              <w:rPr>
                <w:b w:val="false"/>
                <w:bCs w:val="false"/>
                <w:color w:val="000000"/>
                <w:sz w:val="18"/>
                <w:szCs w:val="18"/>
              </w:rPr>
              <w:t xml:space="preserve">14,7 %</w:t>
            </w:r>
          </w:p>
        </w:tc>
        <w:tc>
          <w:tcPr>
            <w:tcW w:type="dxa" w:w="2200"/>
            <w:shd w:fill="F2F4F3" w:val="clear"/>
            <w:tcMar>
              <w:top w:type="dxa" w:w="60"/>
              <w:left w:type="dxa" w:w="100"/>
              <w:bottom w:type="dxa" w:w="60"/>
              <w:right w:type="dxa" w:w="100"/>
            </w:tcMar>
          </w:tcPr>
          <w:p>
            <w:pPr>
              <w:spacing w:after="40" w:before="40"/>
            </w:pPr>
            <w:r>
              <w:rPr>
                <w:b w:val="false"/>
                <w:bCs w:val="false"/>
                <w:color w:val="000000"/>
                <w:sz w:val="18"/>
                <w:szCs w:val="18"/>
              </w:rPr>
              <w:t xml:space="preserve">13,8 %</w:t>
            </w:r>
          </w:p>
        </w:tc>
        <w:tc>
          <w:tcPr>
            <w:tcW w:type="dxa" w:w="2020"/>
            <w:shd w:fill="F2F4F3" w:val="clear"/>
            <w:tcMar>
              <w:top w:type="dxa" w:w="60"/>
              <w:left w:type="dxa" w:w="100"/>
              <w:bottom w:type="dxa" w:w="60"/>
              <w:right w:type="dxa" w:w="100"/>
            </w:tcMar>
          </w:tcPr>
          <w:p>
            <w:pPr>
              <w:spacing w:after="40" w:before="40"/>
            </w:pPr>
            <w:r>
              <w:rPr>
                <w:b w:val="false"/>
                <w:bCs w:val="false"/>
                <w:color w:val="000000"/>
                <w:sz w:val="18"/>
                <w:szCs w:val="18"/>
              </w:rPr>
              <w:t xml:space="preserve">− 0,9</w:t>
            </w:r>
          </w:p>
        </w:tc>
      </w:tr>
      <w:tr>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Apple Music</w:t>
            </w:r>
          </w:p>
        </w:tc>
        <w:tc>
          <w:tcPr>
            <w:tcW w:type="dxa" w:w="2200"/>
            <w:shd w:fill="FFFFFF" w:val="clear"/>
            <w:tcMar>
              <w:top w:type="dxa" w:w="60"/>
              <w:left w:type="dxa" w:w="100"/>
              <w:bottom w:type="dxa" w:w="60"/>
              <w:right w:type="dxa" w:w="100"/>
            </w:tcMar>
          </w:tcPr>
          <w:p>
            <w:pPr>
              <w:spacing w:after="40" w:before="40"/>
            </w:pPr>
            <w:r>
              <w:rPr>
                <w:b w:val="false"/>
                <w:bCs w:val="false"/>
                <w:color w:val="000000"/>
                <w:sz w:val="18"/>
                <w:szCs w:val="18"/>
              </w:rPr>
              <w:t xml:space="preserve">11,6 %</w:t>
            </w:r>
          </w:p>
        </w:tc>
        <w:tc>
          <w:tcPr>
            <w:tcW w:type="dxa" w:w="2200"/>
            <w:shd w:fill="FFFFFF" w:val="clear"/>
            <w:tcMar>
              <w:top w:type="dxa" w:w="60"/>
              <w:left w:type="dxa" w:w="100"/>
              <w:bottom w:type="dxa" w:w="60"/>
              <w:right w:type="dxa" w:w="100"/>
            </w:tcMar>
          </w:tcPr>
          <w:p>
            <w:pPr>
              <w:spacing w:after="40" w:before="40"/>
            </w:pPr>
            <w:r>
              <w:rPr>
                <w:b w:val="false"/>
                <w:bCs w:val="false"/>
                <w:color w:val="000000"/>
                <w:sz w:val="18"/>
                <w:szCs w:val="18"/>
              </w:rPr>
              <w:t xml:space="preserve">12,6 %</w:t>
            </w:r>
          </w:p>
        </w:tc>
        <w:tc>
          <w:tcPr>
            <w:tcW w:type="dxa" w:w="2020"/>
            <w:shd w:fill="FFFFFF" w:val="clear"/>
            <w:tcMar>
              <w:top w:type="dxa" w:w="60"/>
              <w:left w:type="dxa" w:w="100"/>
              <w:bottom w:type="dxa" w:w="60"/>
              <w:right w:type="dxa" w:w="100"/>
            </w:tcMar>
          </w:tcPr>
          <w:p>
            <w:pPr>
              <w:spacing w:after="40" w:before="40"/>
            </w:pPr>
            <w:r>
              <w:rPr>
                <w:b w:val="false"/>
                <w:bCs w:val="false"/>
                <w:color w:val="000000"/>
                <w:sz w:val="18"/>
                <w:szCs w:val="18"/>
              </w:rPr>
              <w:t xml:space="preserve">+ 1,0</w:t>
            </w:r>
          </w:p>
        </w:tc>
      </w:tr>
      <w:tr>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YouTube Music</w:t>
            </w:r>
          </w:p>
        </w:tc>
        <w:tc>
          <w:tcPr>
            <w:tcW w:type="dxa" w:w="2200"/>
            <w:shd w:fill="F2F4F3" w:val="clear"/>
            <w:tcMar>
              <w:top w:type="dxa" w:w="60"/>
              <w:left w:type="dxa" w:w="100"/>
              <w:bottom w:type="dxa" w:w="60"/>
              <w:right w:type="dxa" w:w="100"/>
            </w:tcMar>
          </w:tcPr>
          <w:p>
            <w:pPr>
              <w:spacing w:after="40" w:before="40"/>
            </w:pPr>
            <w:r>
              <w:rPr>
                <w:b w:val="false"/>
                <w:bCs w:val="false"/>
                <w:color w:val="000000"/>
                <w:sz w:val="18"/>
                <w:szCs w:val="18"/>
              </w:rPr>
              <w:t xml:space="preserve">10,1 %</w:t>
            </w:r>
          </w:p>
        </w:tc>
        <w:tc>
          <w:tcPr>
            <w:tcW w:type="dxa" w:w="2200"/>
            <w:shd w:fill="F2F4F3" w:val="clear"/>
            <w:tcMar>
              <w:top w:type="dxa" w:w="60"/>
              <w:left w:type="dxa" w:w="100"/>
              <w:bottom w:type="dxa" w:w="60"/>
              <w:right w:type="dxa" w:w="100"/>
            </w:tcMar>
          </w:tcPr>
          <w:p>
            <w:pPr>
              <w:spacing w:after="40" w:before="40"/>
            </w:pPr>
            <w:r>
              <w:rPr>
                <w:b w:val="false"/>
                <w:bCs w:val="false"/>
                <w:color w:val="000000"/>
                <w:sz w:val="18"/>
                <w:szCs w:val="18"/>
              </w:rPr>
              <w:t xml:space="preserve">12,4 %</w:t>
            </w:r>
          </w:p>
        </w:tc>
        <w:tc>
          <w:tcPr>
            <w:tcW w:type="dxa" w:w="2020"/>
            <w:shd w:fill="F2F4F3" w:val="clear"/>
            <w:tcMar>
              <w:top w:type="dxa" w:w="60"/>
              <w:left w:type="dxa" w:w="100"/>
              <w:bottom w:type="dxa" w:w="60"/>
              <w:right w:type="dxa" w:w="100"/>
            </w:tcMar>
          </w:tcPr>
          <w:p>
            <w:pPr>
              <w:spacing w:after="40" w:before="40"/>
            </w:pPr>
            <w:r>
              <w:rPr>
                <w:b/>
                <w:bCs/>
                <w:color w:val="000000"/>
                <w:sz w:val="18"/>
                <w:szCs w:val="18"/>
              </w:rPr>
              <w:t xml:space="preserve">+ 2,3</w:t>
            </w:r>
          </w:p>
        </w:tc>
      </w:tr>
      <w:tr>
        <w:tc>
          <w:tcPr>
            <w:tcW w:type="dxa" w:w="2600"/>
            <w:shd w:fill="FFFFFF" w:val="clear"/>
            <w:tcMar>
              <w:top w:type="dxa" w:w="60"/>
              <w:left w:type="dxa" w:w="100"/>
              <w:bottom w:type="dxa" w:w="60"/>
              <w:right w:type="dxa" w:w="100"/>
            </w:tcMar>
          </w:tcPr>
          <w:p>
            <w:pPr>
              <w:spacing w:after="40" w:before="40"/>
            </w:pPr>
            <w:r>
              <w:rPr>
                <w:b w:val="false"/>
                <w:bCs w:val="false"/>
                <w:color w:val="000000"/>
                <w:sz w:val="18"/>
                <w:szCs w:val="18"/>
              </w:rPr>
              <w:t xml:space="preserve">Amazon Music</w:t>
            </w:r>
          </w:p>
        </w:tc>
        <w:tc>
          <w:tcPr>
            <w:tcW w:type="dxa" w:w="2200"/>
            <w:shd w:fill="FFFFFF" w:val="clear"/>
            <w:tcMar>
              <w:top w:type="dxa" w:w="60"/>
              <w:left w:type="dxa" w:w="100"/>
              <w:bottom w:type="dxa" w:w="60"/>
              <w:right w:type="dxa" w:w="100"/>
            </w:tcMar>
          </w:tcPr>
          <w:p>
            <w:pPr>
              <w:spacing w:after="40" w:before="40"/>
            </w:pPr>
            <w:r>
              <w:rPr>
                <w:b w:val="false"/>
                <w:bCs w:val="false"/>
                <w:color w:val="000000"/>
                <w:sz w:val="18"/>
                <w:szCs w:val="18"/>
              </w:rPr>
              <w:t xml:space="preserve">10,1 %</w:t>
            </w:r>
          </w:p>
        </w:tc>
        <w:tc>
          <w:tcPr>
            <w:tcW w:type="dxa" w:w="2200"/>
            <w:shd w:fill="FFFFFF" w:val="clear"/>
            <w:tcMar>
              <w:top w:type="dxa" w:w="60"/>
              <w:left w:type="dxa" w:w="100"/>
              <w:bottom w:type="dxa" w:w="60"/>
              <w:right w:type="dxa" w:w="100"/>
            </w:tcMar>
          </w:tcPr>
          <w:p>
            <w:pPr>
              <w:spacing w:after="40" w:before="40"/>
            </w:pPr>
            <w:r>
              <w:rPr>
                <w:b w:val="false"/>
                <w:bCs w:val="false"/>
                <w:color w:val="000000"/>
                <w:sz w:val="18"/>
                <w:szCs w:val="18"/>
              </w:rPr>
              <w:t xml:space="preserve">8,5 %</w:t>
            </w:r>
          </w:p>
        </w:tc>
        <w:tc>
          <w:tcPr>
            <w:tcW w:type="dxa" w:w="2020"/>
            <w:shd w:fill="FFFFFF" w:val="clear"/>
            <w:tcMar>
              <w:top w:type="dxa" w:w="60"/>
              <w:left w:type="dxa" w:w="100"/>
              <w:bottom w:type="dxa" w:w="60"/>
              <w:right w:type="dxa" w:w="100"/>
            </w:tcMar>
          </w:tcPr>
          <w:p>
            <w:pPr>
              <w:spacing w:after="40" w:before="40"/>
            </w:pPr>
            <w:r>
              <w:rPr>
                <w:b w:val="false"/>
                <w:bCs w:val="false"/>
                <w:color w:val="000000"/>
                <w:sz w:val="18"/>
                <w:szCs w:val="18"/>
              </w:rPr>
              <w:t xml:space="preserve">− 1,6</w:t>
            </w:r>
          </w:p>
        </w:tc>
      </w:tr>
      <w:tr>
        <w:tc>
          <w:tcPr>
            <w:tcW w:type="dxa" w:w="2600"/>
            <w:shd w:fill="F2F4F3" w:val="clear"/>
            <w:tcMar>
              <w:top w:type="dxa" w:w="60"/>
              <w:left w:type="dxa" w:w="100"/>
              <w:bottom w:type="dxa" w:w="60"/>
              <w:right w:type="dxa" w:w="100"/>
            </w:tcMar>
          </w:tcPr>
          <w:p>
            <w:pPr>
              <w:spacing w:after="40" w:before="40"/>
            </w:pPr>
            <w:r>
              <w:rPr>
                <w:b w:val="false"/>
                <w:bCs w:val="false"/>
                <w:color w:val="000000"/>
                <w:sz w:val="18"/>
                <w:szCs w:val="18"/>
              </w:rPr>
              <w:t xml:space="preserve">Gesamtmarkt</w:t>
            </w:r>
          </w:p>
        </w:tc>
        <w:tc>
          <w:tcPr>
            <w:tcW w:type="dxa" w:w="2200"/>
            <w:shd w:fill="F2F4F3" w:val="clear"/>
            <w:tcMar>
              <w:top w:type="dxa" w:w="60"/>
              <w:left w:type="dxa" w:w="100"/>
              <w:bottom w:type="dxa" w:w="60"/>
              <w:right w:type="dxa" w:w="100"/>
            </w:tcMar>
          </w:tcPr>
          <w:p>
            <w:pPr>
              <w:spacing w:after="40" w:before="40"/>
            </w:pPr>
            <w:r>
              <w:rPr>
                <w:b w:val="false"/>
                <w:bCs w:val="false"/>
                <w:color w:val="000000"/>
                <w:sz w:val="18"/>
                <w:szCs w:val="18"/>
              </w:rPr>
              <w:t xml:space="preserve">818,3 Mio. Abos</w:t>
            </w:r>
          </w:p>
        </w:tc>
        <w:tc>
          <w:tcPr>
            <w:tcW w:type="dxa" w:w="2200"/>
            <w:shd w:fill="F2F4F3" w:val="clear"/>
            <w:tcMar>
              <w:top w:type="dxa" w:w="60"/>
              <w:left w:type="dxa" w:w="100"/>
              <w:bottom w:type="dxa" w:w="60"/>
              <w:right w:type="dxa" w:w="100"/>
            </w:tcMar>
          </w:tcPr>
          <w:p>
            <w:pPr>
              <w:spacing w:after="40" w:before="40"/>
            </w:pPr>
            <w:r>
              <w:rPr>
                <w:b w:val="false"/>
                <w:bCs w:val="false"/>
                <w:color w:val="000000"/>
                <w:sz w:val="18"/>
                <w:szCs w:val="18"/>
              </w:rPr>
              <w:t xml:space="preserve">921,6 Mio. Abos</w:t>
            </w:r>
          </w:p>
        </w:tc>
        <w:tc>
          <w:tcPr>
            <w:tcW w:type="dxa" w:w="2020"/>
            <w:shd w:fill="F2F4F3" w:val="clear"/>
            <w:tcMar>
              <w:top w:type="dxa" w:w="60"/>
              <w:left w:type="dxa" w:w="100"/>
              <w:bottom w:type="dxa" w:w="60"/>
              <w:right w:type="dxa" w:w="100"/>
            </w:tcMar>
          </w:tcPr>
          <w:p>
            <w:pPr>
              <w:spacing w:after="40" w:before="40"/>
            </w:pPr>
            <w:r>
              <w:rPr>
                <w:b w:val="false"/>
                <w:bCs w:val="false"/>
                <w:color w:val="000000"/>
                <w:sz w:val="18"/>
                <w:szCs w:val="18"/>
              </w:rPr>
              <w:t xml:space="preserve">+ 10,1 %</w:t>
            </w:r>
          </w:p>
        </w:tc>
      </w:tr>
    </w:tbl>
    <w:p>
      <w:pPr>
        <w:spacing w:after="120" w:line="276"/>
        <w:jc w:val="both"/>
      </w:pPr>
      <w:r>
        <w:rPr>
          <w:b/>
          <w:bCs/>
        </w:rPr>
        <w:t xml:space="preserve">Argument für den Bericht:</w:t>
      </w:r>
      <w:r>
        <w:t xml:space="preserve"> Spotify wächst absolut deutlich, verliert aber relativ Anteile – und verlangt gleichzeitig als einziger großer Anbieter dauerhaft den höchsten Preis. Wer diese beiden Beobachtungen zusammenbringt, hat die Fragestellung der Arbeit bereits begründet. Beachtet dabei die unterschiedlichen Stichtage: Spotifys 300 Millionen stammen vom 30.06.2026, die MIDiA-Anteile vom Jahresende 2025. Nicht gegeneinander aufrechnen.</w:t>
      </w:r>
    </w:p>
    <w:p>
      <w:pPr>
        <w:pStyle w:val="Heading2"/>
        <w:spacing w:after="120" w:before="280"/>
      </w:pPr>
      <w:r>
        <w:t xml:space="preserve">5.5 Segmentierung des Marktes</w:t>
      </w:r>
    </w:p>
    <w:p>
      <w:pPr>
        <w:spacing w:after="120" w:line="276"/>
        <w:jc w:val="both"/>
      </w:pPr>
      <w:r>
        <w:t xml:space="preserve">Kotler und Armstrong unterscheiden vier Gruppen von Segmentierungsvariablen. Angewandt auf Spotify: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5300"/>
        <w:gridCol w:w="1820"/>
      </w:tblGrid>
      <w:tr>
        <w:trPr>
          <w:tblHeader/>
        </w:trPr>
        <w:tc>
          <w:tcPr>
            <w:tcW w:type="dxa" w:w="1900"/>
            <w:shd w:fill="1A6B4C" w:val="clear"/>
            <w:tcMar>
              <w:top w:type="dxa" w:w="60"/>
              <w:left w:type="dxa" w:w="100"/>
              <w:bottom w:type="dxa" w:w="60"/>
              <w:right w:type="dxa" w:w="100"/>
            </w:tcMar>
          </w:tcPr>
          <w:p>
            <w:pPr>
              <w:spacing w:after="40" w:before="40"/>
            </w:pPr>
            <w:r>
              <w:rPr>
                <w:b/>
                <w:bCs/>
                <w:color w:val="FFFFFF"/>
                <w:sz w:val="18"/>
                <w:szCs w:val="18"/>
              </w:rPr>
              <w:t xml:space="preserve">Variablengruppe</w:t>
            </w:r>
          </w:p>
        </w:tc>
        <w:tc>
          <w:tcPr>
            <w:tcW w:type="dxa" w:w="5300"/>
            <w:shd w:fill="1A6B4C" w:val="clear"/>
            <w:tcMar>
              <w:top w:type="dxa" w:w="60"/>
              <w:left w:type="dxa" w:w="100"/>
              <w:bottom w:type="dxa" w:w="60"/>
              <w:right w:type="dxa" w:w="100"/>
            </w:tcMar>
          </w:tcPr>
          <w:p>
            <w:pPr>
              <w:spacing w:after="40" w:before="40"/>
            </w:pPr>
            <w:r>
              <w:rPr>
                <w:b/>
                <w:bCs/>
                <w:color w:val="FFFFFF"/>
                <w:sz w:val="18"/>
                <w:szCs w:val="18"/>
              </w:rPr>
              <w:t xml:space="preserve">Ausgestaltung bei Spotify</w:t>
            </w:r>
          </w:p>
        </w:tc>
        <w:tc>
          <w:tcPr>
            <w:tcW w:type="dxa" w:w="1820"/>
            <w:shd w:fill="1A6B4C" w:val="clear"/>
            <w:tcMar>
              <w:top w:type="dxa" w:w="60"/>
              <w:left w:type="dxa" w:w="100"/>
              <w:bottom w:type="dxa" w:w="60"/>
              <w:right w:type="dxa" w:w="100"/>
            </w:tcMar>
          </w:tcPr>
          <w:p>
            <w:pPr>
              <w:spacing w:after="40" w:before="40"/>
            </w:pPr>
            <w:r>
              <w:rPr>
                <w:b/>
                <w:bCs/>
                <w:color w:val="FFFFFF"/>
                <w:sz w:val="18"/>
                <w:szCs w:val="18"/>
              </w:rPr>
              <w:t xml:space="preserve">Beleg</w:t>
            </w:r>
          </w:p>
        </w:tc>
      </w:tr>
      <w:tr>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Geografisch</w:t>
            </w:r>
          </w:p>
        </w:tc>
        <w:tc>
          <w:tcPr>
            <w:tcW w:type="dxa" w:w="5300"/>
            <w:shd w:fill="FFFFFF" w:val="clear"/>
            <w:tcMar>
              <w:top w:type="dxa" w:w="60"/>
              <w:left w:type="dxa" w:w="100"/>
              <w:bottom w:type="dxa" w:w="60"/>
              <w:right w:type="dxa" w:w="100"/>
            </w:tcMar>
          </w:tcPr>
          <w:p>
            <w:pPr>
              <w:spacing w:after="40" w:before="40"/>
            </w:pPr>
            <w:r>
              <w:rPr>
                <w:b w:val="false"/>
                <w:bCs w:val="false"/>
                <w:color w:val="000000"/>
                <w:sz w:val="18"/>
                <w:szCs w:val="18"/>
              </w:rPr>
              <w:t xml:space="preserve">Reife Märkte (Europa 36 %, Nordamerika 25 % der Premium-Abos) gegenüber Wachstumsmärkten (Lateinamerika 24 %, übrige Welt 15 %); länderspezifische Preise, in fünf Märkten sogar eigene Tarifstufen</w:t>
            </w:r>
          </w:p>
        </w:tc>
        <w:tc>
          <w:tcPr>
            <w:tcW w:type="dxa" w:w="1820"/>
            <w:shd w:fill="FFFFFF" w:val="clear"/>
            <w:tcMar>
              <w:top w:type="dxa" w:w="60"/>
              <w:left w:type="dxa" w:w="100"/>
              <w:bottom w:type="dxa" w:w="60"/>
              <w:right w:type="dxa" w:w="100"/>
            </w:tcMar>
          </w:tcPr>
          <w:p>
            <w:pPr>
              <w:spacing w:after="40" w:before="40"/>
            </w:pPr>
            <w:r>
              <w:rPr>
                <w:b w:val="false"/>
                <w:bCs w:val="false"/>
                <w:color w:val="000000"/>
                <w:sz w:val="18"/>
                <w:szCs w:val="18"/>
              </w:rPr>
              <w:t xml:space="preserve">Spotify Q2 2026</w:t>
            </w:r>
          </w:p>
        </w:tc>
      </w:tr>
      <w:tr>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Demografisch</w:t>
            </w:r>
          </w:p>
        </w:tc>
        <w:tc>
          <w:tcPr>
            <w:tcW w:type="dxa" w:w="5300"/>
            <w:shd w:fill="F2F4F3" w:val="clear"/>
            <w:tcMar>
              <w:top w:type="dxa" w:w="60"/>
              <w:left w:type="dxa" w:w="100"/>
              <w:bottom w:type="dxa" w:w="60"/>
              <w:right w:type="dxa" w:w="100"/>
            </w:tcMar>
          </w:tcPr>
          <w:p>
            <w:pPr>
              <w:spacing w:after="40" w:before="40"/>
            </w:pPr>
            <w:r>
              <w:rPr>
                <w:b/>
                <w:bCs/>
                <w:color w:val="000000"/>
                <w:sz w:val="18"/>
                <w:szCs w:val="18"/>
              </w:rPr>
              <w:t xml:space="preserve">Lebensphase ist die Leitvariable</w:t>
            </w:r>
            <w:r>
              <w:rPr>
                <w:b w:val="false"/>
                <w:bCs w:val="false"/>
                <w:color w:val="000000"/>
                <w:sz w:val="18"/>
                <w:szCs w:val="18"/>
              </w:rPr>
              <w:t xml:space="preserve">, operationalisiert über die Tarifarchitektur: Studierende 6,99 €, Einzelperson 12,99 €, Paar 17,99 €, Haushalt mit bis zu sechs Konten 21,99 €</w:t>
            </w:r>
          </w:p>
        </w:tc>
        <w:tc>
          <w:tcPr>
            <w:tcW w:type="dxa" w:w="1820"/>
            <w:shd w:fill="F2F4F3" w:val="clear"/>
            <w:tcMar>
              <w:top w:type="dxa" w:w="60"/>
              <w:left w:type="dxa" w:w="100"/>
              <w:bottom w:type="dxa" w:w="60"/>
              <w:right w:type="dxa" w:w="100"/>
            </w:tcMar>
          </w:tcPr>
          <w:p>
            <w:pPr>
              <w:spacing w:after="40" w:before="40"/>
            </w:pPr>
            <w:r>
              <w:rPr>
                <w:b w:val="false"/>
                <w:bCs w:val="false"/>
                <w:color w:val="000000"/>
                <w:sz w:val="18"/>
                <w:szCs w:val="18"/>
              </w:rPr>
              <w:t xml:space="preserve">spotify.com/de, 24.08.2026</w:t>
            </w:r>
          </w:p>
        </w:tc>
      </w:tr>
      <w:tr>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Psychografisch</w:t>
            </w:r>
          </w:p>
        </w:tc>
        <w:tc>
          <w:tcPr>
            <w:tcW w:type="dxa" w:w="5300"/>
            <w:shd w:fill="FFFFFF" w:val="clear"/>
            <w:tcMar>
              <w:top w:type="dxa" w:w="60"/>
              <w:left w:type="dxa" w:w="100"/>
              <w:bottom w:type="dxa" w:w="60"/>
              <w:right w:type="dxa" w:w="100"/>
            </w:tcMar>
          </w:tcPr>
          <w:p>
            <w:pPr>
              <w:spacing w:after="40" w:before="40"/>
            </w:pPr>
            <w:r>
              <w:rPr>
                <w:b w:val="false"/>
                <w:bCs w:val="false"/>
                <w:color w:val="000000"/>
                <w:sz w:val="18"/>
                <w:szCs w:val="18"/>
              </w:rPr>
              <w:t xml:space="preserve">AIM-Faktoren: Musik als Identitäts- und Ausdrucksmittel; Wrapped, Jam und geteilte Playlists adressieren Interessen und soziale Selbstdarstellung</w:t>
            </w:r>
          </w:p>
        </w:tc>
        <w:tc>
          <w:tcPr>
            <w:tcW w:type="dxa" w:w="1820"/>
            <w:shd w:fill="FFFFFF" w:val="clear"/>
            <w:tcMar>
              <w:top w:type="dxa" w:w="60"/>
              <w:left w:type="dxa" w:w="100"/>
              <w:bottom w:type="dxa" w:w="60"/>
              <w:right w:type="dxa" w:w="100"/>
            </w:tcMar>
          </w:tcPr>
          <w:p>
            <w:pPr>
              <w:spacing w:after="40" w:before="40"/>
            </w:pPr>
            <w:r>
              <w:rPr>
                <w:b w:val="false"/>
                <w:bCs w:val="false"/>
                <w:color w:val="000000"/>
                <w:sz w:val="18"/>
                <w:szCs w:val="18"/>
              </w:rPr>
              <w:t xml:space="preserve">Kotler/Armstrong 2020; Spotify Investor Day 2026</w:t>
            </w:r>
          </w:p>
        </w:tc>
      </w:tr>
      <w:tr>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Verhaltensorientiert</w:t>
            </w:r>
          </w:p>
        </w:tc>
        <w:tc>
          <w:tcPr>
            <w:tcW w:type="dxa" w:w="5300"/>
            <w:shd w:fill="F2F4F3" w:val="clear"/>
            <w:tcMar>
              <w:top w:type="dxa" w:w="60"/>
              <w:left w:type="dxa" w:w="100"/>
              <w:bottom w:type="dxa" w:w="60"/>
              <w:right w:type="dxa" w:w="100"/>
            </w:tcMar>
          </w:tcPr>
          <w:p>
            <w:pPr>
              <w:spacing w:after="40" w:before="40"/>
            </w:pPr>
            <w:r>
              <w:rPr>
                <w:b w:val="false"/>
                <w:bCs w:val="false"/>
                <w:color w:val="000000"/>
                <w:sz w:val="18"/>
                <w:szCs w:val="18"/>
              </w:rPr>
              <w:t xml:space="preserve">Nutzerstatus (Free/Premium), Nutzungsrate, </w:t>
            </w:r>
            <w:r>
              <w:rPr>
                <w:b/>
                <w:bCs/>
                <w:color w:val="000000"/>
                <w:sz w:val="18"/>
                <w:szCs w:val="18"/>
              </w:rPr>
              <w:t xml:space="preserve">Anlässe</w:t>
            </w:r>
            <w:r>
              <w:rPr>
                <w:b w:val="false"/>
                <w:bCs w:val="false"/>
                <w:color w:val="000000"/>
                <w:sz w:val="18"/>
                <w:szCs w:val="18"/>
              </w:rPr>
              <w:t xml:space="preserve"> – daylist, Running Mode, Sleep-Timer segmentieren nach Situation statt nach Person</w:t>
            </w:r>
          </w:p>
        </w:tc>
        <w:tc>
          <w:tcPr>
            <w:tcW w:type="dxa" w:w="1820"/>
            <w:shd w:fill="F2F4F3" w:val="clear"/>
            <w:tcMar>
              <w:top w:type="dxa" w:w="60"/>
              <w:left w:type="dxa" w:w="100"/>
              <w:bottom w:type="dxa" w:w="60"/>
              <w:right w:type="dxa" w:w="100"/>
            </w:tcMar>
          </w:tcPr>
          <w:p>
            <w:pPr>
              <w:spacing w:after="40" w:before="40"/>
            </w:pPr>
            <w:r>
              <w:rPr>
                <w:b w:val="false"/>
                <w:bCs w:val="false"/>
                <w:color w:val="000000"/>
                <w:sz w:val="18"/>
                <w:szCs w:val="18"/>
              </w:rPr>
              <w:t xml:space="preserve">Spotify Newsroom 2025/2026</w:t>
            </w:r>
          </w:p>
        </w:tc>
      </w:tr>
    </w:tbl>
    <w:p>
      <w:pPr>
        <w:spacing w:after="120" w:line="276"/>
        <w:jc w:val="both"/>
      </w:pPr>
      <w:r>
        <w:rPr>
          <w:b/>
          <w:bCs/>
        </w:rPr>
        <w:t xml:space="preserve">Prüfung an den Anforderungen an brauchbare Segmente</w:t>
      </w:r>
      <w:r>
        <w:t xml:space="preserve"> (messbar, verhaltensrelevant, zugänglich, klar differenzierbar, stabil, ökonomisch sinnvoll): Verhaltensdaten erfüllen alle sechs Kriterien in einem digitalen Dienst nahezu perfekt – Spotify misst Nutzung lückenlos und kann jedes Segment ohne Streuverlust direkt in der App ansprechen. Das ist der strukturelle Vorteil digitaler Geschäftsmodelle gegenüber klassischen Konsumgütermärkten und gehört als eigener Gedanke in den Bericht.</w:t>
      </w:r>
    </w:p>
    <w:p>
      <w:pPr>
        <w:pStyle w:val="Heading2"/>
        <w:spacing w:after="120" w:before="280"/>
      </w:pPr>
      <w:r>
        <w:t xml:space="preserve">5.6 Kaufverhalten – der wichtigste Befund</w:t>
      </w:r>
    </w:p>
    <w:p>
      <w:pPr>
        <w:spacing w:after="120" w:line="276"/>
        <w:jc w:val="both"/>
      </w:pPr>
      <w:r>
        <w:t xml:space="preserve">Kotler und Armstrong ordnen Kaufverhalten nach Involvierung und wahrgenommenen Markenunterschieden in vier Typen. Ein Musikstreaming-Abo ist ein günstiges, routinehaft weiterlaufendes Produkt, und die Kataloge der Anbieter sind praktisch identisch: geringe Involvierung, geringe wahrgenommene Markenunterschiede. Das ergibt </w:t>
      </w:r>
      <w:r>
        <w:rPr>
          <w:b/>
          <w:bCs/>
        </w:rPr>
        <w:t xml:space="preserve">habituelles Kaufverhalten</w:t>
      </w:r>
      <w:r>
        <w:t xml:space="preserve">.</w:t>
      </w:r>
    </w:p>
    <w:p>
      <w:pPr>
        <w:pBdr>
          <w:left w:val="single" w:color="1A6B4C" w:sz="18" w:space="8"/>
        </w:pBdr>
        <w:shd w:fill="F2F4F3" w:val="clear"/>
        <w:spacing w:after="160" w:before="120" w:line="276"/>
        <w:ind w:left="120" w:right="120"/>
      </w:pPr>
      <w:r>
        <w:rPr>
          <w:b/>
          <w:bCs/>
        </w:rPr>
        <w:t xml:space="preserve">Und genau darin liegt Spotifys Risiko.</w:t>
      </w:r>
      <w:r>
        <w:t xml:space="preserve"> Habituelles Kaufverhalten ist stabil, solange nichts stört – aber es ist nicht loyal. Sobald ein Reiz die Routine unterbricht, etwa eine Preiserhöhung um zwei Euro, wird neu entschieden, und dann zählt der Preis. Personalisierung und die über Jahre gewachsene Bibliothek sind der Versuch, künstlich </w:t>
      </w:r>
      <w:r>
        <w:rPr>
          <w:b/>
          <w:bCs/>
        </w:rPr>
        <w:t xml:space="preserve">wahrgenommene Markenunterschiede</w:t>
      </w:r>
      <w:r>
        <w:t xml:space="preserve"> zu erzeugen und das Verhalten aus dem habituellen in den loyalen Bereich zu verschieben. Diese Deutung trägt die gesamte Arbeit.</w:t>
      </w:r>
    </w:p>
    <w:p>
      <w:pPr>
        <w:spacing w:after="80" w:line="276"/>
        <w:jc w:val="both"/>
      </w:pPr>
      <w:r>
        <w:rPr>
          <w:b/>
          <w:bCs/>
        </w:rPr>
        <w:t xml:space="preserve">SOR-Modell, angewandt: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shd w:fill="1A6B4C" w:val="clear"/>
            <w:tcMar>
              <w:top w:type="dxa" w:w="60"/>
              <w:left w:type="dxa" w:w="100"/>
              <w:bottom w:type="dxa" w:w="60"/>
              <w:right w:type="dxa" w:w="100"/>
            </w:tcMar>
          </w:tcPr>
          <w:p>
            <w:pPr>
              <w:spacing w:after="40" w:before="40"/>
            </w:pPr>
            <w:r>
              <w:rPr>
                <w:b/>
                <w:bCs/>
                <w:color w:val="FFFFFF"/>
                <w:sz w:val="18"/>
                <w:szCs w:val="18"/>
              </w:rPr>
              <w:t xml:space="preserve">Ebene</w:t>
            </w:r>
          </w:p>
        </w:tc>
        <w:tc>
          <w:tcPr>
            <w:tcW w:type="dxa" w:w="6820"/>
            <w:shd w:fill="1A6B4C" w:val="clear"/>
            <w:tcMar>
              <w:top w:type="dxa" w:w="60"/>
              <w:left w:type="dxa" w:w="100"/>
              <w:bottom w:type="dxa" w:w="60"/>
              <w:right w:type="dxa" w:w="100"/>
            </w:tcMar>
          </w:tcPr>
          <w:p>
            <w:pPr>
              <w:spacing w:after="40" w:before="40"/>
            </w:pPr>
            <w:r>
              <w:rPr>
                <w:b/>
                <w:bCs/>
                <w:color w:val="FFFFFF"/>
                <w:sz w:val="18"/>
                <w:szCs w:val="18"/>
              </w:rPr>
              <w:t xml:space="preserve">Ausgestaltung</w:t>
            </w:r>
          </w:p>
        </w:tc>
      </w:tr>
      <w:tr>
        <w:tc>
          <w:tcPr>
            <w:tcW w:type="dxa" w:w="2200"/>
            <w:shd w:fill="FFFFFF" w:val="clear"/>
            <w:tcMar>
              <w:top w:type="dxa" w:w="60"/>
              <w:left w:type="dxa" w:w="100"/>
              <w:bottom w:type="dxa" w:w="60"/>
              <w:right w:type="dxa" w:w="100"/>
            </w:tcMar>
          </w:tcPr>
          <w:p>
            <w:pPr>
              <w:spacing w:after="40" w:before="40"/>
            </w:pPr>
            <w:r>
              <w:rPr>
                <w:b/>
                <w:bCs/>
                <w:color w:val="000000"/>
                <w:sz w:val="18"/>
                <w:szCs w:val="18"/>
              </w:rPr>
              <w:t xml:space="preserve">Stimulus</w:t>
            </w:r>
            <w:r>
              <w:rPr>
                <w:b w:val="false"/>
                <w:bCs w:val="false"/>
                <w:color w:val="000000"/>
                <w:sz w:val="18"/>
                <w:szCs w:val="18"/>
              </w:rPr>
              <w:t xml:space="preserve"> – Marketing</w:t>
            </w:r>
          </w:p>
        </w:tc>
        <w:tc>
          <w:tcPr>
            <w:tcW w:type="dxa" w:w="6820"/>
            <w:shd w:fill="FFFFFF" w:val="clear"/>
            <w:tcMar>
              <w:top w:type="dxa" w:w="60"/>
              <w:left w:type="dxa" w:w="100"/>
              <w:bottom w:type="dxa" w:w="60"/>
              <w:right w:type="dxa" w:w="100"/>
            </w:tcMar>
          </w:tcPr>
          <w:p>
            <w:pPr>
              <w:spacing w:after="40" w:before="40"/>
            </w:pPr>
            <w:r>
              <w:rPr>
                <w:b w:val="false"/>
                <w:bCs w:val="false"/>
                <w:color w:val="000000"/>
                <w:sz w:val="18"/>
                <w:szCs w:val="18"/>
              </w:rPr>
              <w:t xml:space="preserve">Kostenloser Einstieg ohne Zahlungsdaten; seit dem 15.09.2025 auch mobil freie Titelwahl statt Zufallswiedergabe; Werbeunterbrechungen als bewusst gesetzter Reibungspunkt; Preisschwelle 12,99 €; Aktion „drei Monate für 0 €“; 12 Hörbuchstunden monatlich als Premium-Exklusivnutzen</w:t>
            </w:r>
          </w:p>
        </w:tc>
      </w:tr>
      <w:tr>
        <w:tc>
          <w:tcPr>
            <w:tcW w:type="dxa" w:w="2200"/>
            <w:shd w:fill="F2F4F3" w:val="clear"/>
            <w:tcMar>
              <w:top w:type="dxa" w:w="60"/>
              <w:left w:type="dxa" w:w="100"/>
              <w:bottom w:type="dxa" w:w="60"/>
              <w:right w:type="dxa" w:w="100"/>
            </w:tcMar>
          </w:tcPr>
          <w:p>
            <w:pPr>
              <w:spacing w:after="40" w:before="40"/>
            </w:pPr>
            <w:r>
              <w:rPr>
                <w:b/>
                <w:bCs/>
                <w:color w:val="000000"/>
                <w:sz w:val="18"/>
                <w:szCs w:val="18"/>
              </w:rPr>
              <w:t xml:space="preserve">Stimulus</w:t>
            </w:r>
            <w:r>
              <w:rPr>
                <w:b w:val="false"/>
                <w:bCs w:val="false"/>
                <w:color w:val="000000"/>
                <w:sz w:val="18"/>
                <w:szCs w:val="18"/>
              </w:rPr>
              <w:t xml:space="preserve"> – sonstige</w:t>
            </w:r>
          </w:p>
        </w:tc>
        <w:tc>
          <w:tcPr>
            <w:tcW w:type="dxa" w:w="6820"/>
            <w:shd w:fill="F2F4F3" w:val="clear"/>
            <w:tcMar>
              <w:top w:type="dxa" w:w="60"/>
              <w:left w:type="dxa" w:w="100"/>
              <w:bottom w:type="dxa" w:w="60"/>
              <w:right w:type="dxa" w:w="100"/>
            </w:tcMar>
          </w:tcPr>
          <w:p>
            <w:pPr>
              <w:spacing w:after="40" w:before="40"/>
            </w:pPr>
            <w:r>
              <w:rPr>
                <w:b w:val="false"/>
                <w:bCs w:val="false"/>
                <w:color w:val="000000"/>
                <w:sz w:val="18"/>
                <w:szCs w:val="18"/>
              </w:rPr>
              <w:t xml:space="preserve">Peer-Group und geteilte Playlists; Mitnutzung fremder Familientarife – 18 % der Streamingnutzenden in Deutschland nutzen ein Konto, für das sie nicht zahlen (Bitkom); Fandom und Konzertbezug</w:t>
            </w:r>
          </w:p>
        </w:tc>
      </w:tr>
      <w:tr>
        <w:tc>
          <w:tcPr>
            <w:tcW w:type="dxa" w:w="2200"/>
            <w:shd w:fill="FFFFFF" w:val="clear"/>
            <w:tcMar>
              <w:top w:type="dxa" w:w="60"/>
              <w:left w:type="dxa" w:w="100"/>
              <w:bottom w:type="dxa" w:w="60"/>
              <w:right w:type="dxa" w:w="100"/>
            </w:tcMar>
          </w:tcPr>
          <w:p>
            <w:pPr>
              <w:spacing w:after="40" w:before="40"/>
            </w:pPr>
            <w:r>
              <w:rPr>
                <w:b/>
                <w:bCs/>
                <w:color w:val="000000"/>
                <w:sz w:val="18"/>
                <w:szCs w:val="18"/>
              </w:rPr>
              <w:t xml:space="preserve">Organismus</w:t>
            </w:r>
          </w:p>
        </w:tc>
        <w:tc>
          <w:tcPr>
            <w:tcW w:type="dxa" w:w="6820"/>
            <w:shd w:fill="FFFFFF" w:val="clear"/>
            <w:tcMar>
              <w:top w:type="dxa" w:w="60"/>
              <w:left w:type="dxa" w:w="100"/>
              <w:bottom w:type="dxa" w:w="60"/>
              <w:right w:type="dxa" w:w="100"/>
            </w:tcMar>
          </w:tcPr>
          <w:p>
            <w:pPr>
              <w:spacing w:after="40" w:before="40"/>
            </w:pPr>
            <w:r>
              <w:rPr>
                <w:b w:val="false"/>
                <w:bCs w:val="false"/>
                <w:color w:val="000000"/>
                <w:sz w:val="18"/>
                <w:szCs w:val="18"/>
              </w:rPr>
              <w:t xml:space="preserve">Referenzpreis rund 11,20 € monatlich (Bitkom) – </w:t>
            </w:r>
            <w:r>
              <w:rPr>
                <w:b/>
                <w:bCs/>
                <w:color w:val="000000"/>
                <w:sz w:val="18"/>
                <w:szCs w:val="18"/>
              </w:rPr>
              <w:t xml:space="preserve">unterhalb</w:t>
            </w:r>
            <w:r>
              <w:rPr>
                <w:b w:val="false"/>
                <w:bCs w:val="false"/>
                <w:color w:val="000000"/>
                <w:sz w:val="18"/>
                <w:szCs w:val="18"/>
              </w:rPr>
              <w:t xml:space="preserve"> des Spotify-Preises; geringe Preiskenntnis wegen automatischer Verlängerung; wahrgenommene Wechselkosten aus Playlists, Hörhistorie und Empfehlungsqualität; niedriges Involvement</w:t>
            </w:r>
          </w:p>
        </w:tc>
      </w:tr>
      <w:tr>
        <w:tc>
          <w:tcPr>
            <w:tcW w:type="dxa" w:w="2200"/>
            <w:shd w:fill="F2F4F3" w:val="clear"/>
            <w:tcMar>
              <w:top w:type="dxa" w:w="60"/>
              <w:left w:type="dxa" w:w="100"/>
              <w:bottom w:type="dxa" w:w="60"/>
              <w:right w:type="dxa" w:w="100"/>
            </w:tcMar>
          </w:tcPr>
          <w:p>
            <w:pPr>
              <w:spacing w:after="40" w:before="40"/>
            </w:pPr>
            <w:r>
              <w:rPr>
                <w:b/>
                <w:bCs/>
                <w:color w:val="000000"/>
                <w:sz w:val="18"/>
                <w:szCs w:val="18"/>
              </w:rPr>
              <w:t xml:space="preserve">Response</w:t>
            </w:r>
          </w:p>
        </w:tc>
        <w:tc>
          <w:tcPr>
            <w:tcW w:type="dxa" w:w="6820"/>
            <w:shd w:fill="F2F4F3" w:val="clear"/>
            <w:tcMar>
              <w:top w:type="dxa" w:w="60"/>
              <w:left w:type="dxa" w:w="100"/>
              <w:bottom w:type="dxa" w:w="60"/>
              <w:right w:type="dxa" w:w="100"/>
            </w:tcMar>
          </w:tcPr>
          <w:p>
            <w:pPr>
              <w:spacing w:after="40" w:before="40"/>
            </w:pPr>
            <w:r>
              <w:rPr>
                <w:b w:val="false"/>
                <w:bCs w:val="false"/>
                <w:color w:val="000000"/>
                <w:sz w:val="18"/>
                <w:szCs w:val="18"/>
              </w:rPr>
              <w:t xml:space="preserve">Konversion zu Premium, Verbleib im Free-Tier, Wechsel in einen Familientarif oder zu einem günstigeren Anbieter, Kündigung – oder Mitnutzung statt Kauf</w:t>
            </w:r>
          </w:p>
        </w:tc>
      </w:tr>
    </w:tbl>
    <w:p>
      <w:pPr>
        <w:spacing w:after="80" w:line="276"/>
        <w:jc w:val="both"/>
      </w:pPr>
      <w:r>
        <w:rPr>
          <w:b/>
          <w:bCs/>
        </w:rPr>
        <w:t xml:space="preserve">Fünfstufiger Kaufentscheidungsprozess, angewandt auf den Wechsel Free → Premium:</w:t>
      </w:r>
    </w:p>
    <w:p>
      <w:pPr>
        <w:pStyle w:val="ListParagraph"/>
        <w:numPr>
          <w:ilvl w:val="0"/>
          <w:numId w:val="1"/>
        </w:numPr>
        <w:spacing w:after="60" w:line="276"/>
      </w:pPr>
      <w:r>
        <w:rPr>
          <w:b/>
          <w:bCs/>
        </w:rPr>
        <w:t xml:space="preserve">Bedarfserkennung:</w:t>
      </w:r>
      <w:r>
        <w:t xml:space="preserve"> Werbeunterbrechung im ungeeigneten Moment, fehlender Offline-Modus im Zug, kein Hörbuchzugang.</w:t>
      </w:r>
    </w:p>
    <w:p>
      <w:pPr>
        <w:pStyle w:val="ListParagraph"/>
        <w:numPr>
          <w:ilvl w:val="0"/>
          <w:numId w:val="1"/>
        </w:numPr>
        <w:spacing w:after="60" w:line="276"/>
      </w:pPr>
      <w:r>
        <w:rPr>
          <w:b/>
          <w:bCs/>
        </w:rPr>
        <w:t xml:space="preserve">Informationssuche:</w:t>
      </w:r>
      <w:r>
        <w:t xml:space="preserve"> überwiegend intern und sozial – die Preise kennt man aus dem Umfeld, nicht aus Recherche.</w:t>
      </w:r>
    </w:p>
    <w:p>
      <w:pPr>
        <w:pStyle w:val="ListParagraph"/>
        <w:numPr>
          <w:ilvl w:val="0"/>
          <w:numId w:val="1"/>
        </w:numPr>
        <w:spacing w:after="60" w:line="276"/>
      </w:pPr>
      <w:r>
        <w:rPr>
          <w:b/>
          <w:bCs/>
        </w:rPr>
        <w:t xml:space="preserve">Bewertung der Alternativen:</w:t>
      </w:r>
      <w:r>
        <w:t xml:space="preserve"> Preisvergleich mit Apple Music, Amazon und YouTube Music; Prüfung des Studierendentarifs; Prüfung, ob ein Platz in einem fremden Familientarif frei ist – diese dritte Option ist die eigentliche Konkurrenz und wird in Lehrbuchdarstellungen regelmäßig übersehen.</w:t>
      </w:r>
    </w:p>
    <w:p>
      <w:pPr>
        <w:pStyle w:val="ListParagraph"/>
        <w:numPr>
          <w:ilvl w:val="0"/>
          <w:numId w:val="1"/>
        </w:numPr>
        <w:spacing w:after="60" w:line="276"/>
      </w:pPr>
      <w:r>
        <w:rPr>
          <w:b/>
          <w:bCs/>
        </w:rPr>
        <w:t xml:space="preserve">Kaufentscheidung:</w:t>
      </w:r>
      <w:r>
        <w:t xml:space="preserve"> in der App oder über die Website; über iOS mit Aufschlag.</w:t>
      </w:r>
    </w:p>
    <w:p>
      <w:pPr>
        <w:pStyle w:val="ListParagraph"/>
        <w:numPr>
          <w:ilvl w:val="0"/>
          <w:numId w:val="1"/>
        </w:numPr>
        <w:spacing w:after="60" w:line="276"/>
      </w:pPr>
      <w:r>
        <w:rPr>
          <w:b/>
          <w:bCs/>
        </w:rPr>
        <w:t xml:space="preserve">Nachkaufverhalten:</w:t>
      </w:r>
      <w:r>
        <w:t xml:space="preserve"> Nutzung von Hörbuchkontingent, Lossless und AI DJ entscheidet, ob der Preis als gerechtfertigt empfunden wird – das ist der Ansatzpunkt für eine Handlungsempfehlung.</w:t>
      </w:r>
    </w:p>
    <w:p>
      <w:pPr>
        <w:pStyle w:val="Heading2"/>
        <w:spacing w:after="120" w:before="280"/>
      </w:pPr>
      <w:r>
        <w:t xml:space="preserve">5.7 Datenlücken – offen benennen</w:t>
      </w:r>
    </w:p>
    <w:p>
      <w:pPr>
        <w:spacing w:after="120" w:line="276"/>
        <w:jc w:val="both"/>
      </w:pPr>
      <w:r>
        <w:t xml:space="preserve">Der folgende Absatz gehört in Kapitel 1.3 des Berichts. Bekannte Grenzen der Datenlage offenzulegen ist kein Eingeständnis von Schwäche, sondern das Kriterium „kritischer Umgang mit Quellen“.</w:t>
      </w:r>
    </w:p>
    <w:p>
      <w:pPr>
        <w:pStyle w:val="ListParagraph"/>
        <w:numPr>
          <w:ilvl w:val="0"/>
          <w:numId w:val="1"/>
        </w:numPr>
        <w:spacing w:after="60" w:line="276"/>
      </w:pPr>
      <w:r>
        <w:t xml:space="preserve">Nutzer- und Abonnentenzahlen für Deutschland: von keinem Anbieter veröffentlicht.</w:t>
      </w:r>
    </w:p>
    <w:p>
      <w:pPr>
        <w:pStyle w:val="ListParagraph"/>
        <w:numPr>
          <w:ilvl w:val="0"/>
          <w:numId w:val="1"/>
        </w:numPr>
        <w:spacing w:after="60" w:line="276"/>
      </w:pPr>
      <w:r>
        <w:t xml:space="preserve">Marktanteile einzelner Dienste in Deutschland: keine frei zugängliche Primärquelle. Verfügbar sind nur Reichweiten – und die überschneiden sich, weil viele Menschen mehrere Dienste nutzen. Reichweite ist kein Marktanteil.</w:t>
      </w:r>
    </w:p>
    <w:p>
      <w:pPr>
        <w:pStyle w:val="ListParagraph"/>
        <w:numPr>
          <w:ilvl w:val="0"/>
          <w:numId w:val="1"/>
        </w:numPr>
        <w:spacing w:after="60" w:line="276"/>
      </w:pPr>
      <w:r>
        <w:t xml:space="preserve">Globale Konversionsrate von Free zu Premium: unveröffentlicht. Öffentlich sind nur Einzelmärkte, etwa 44 Prozent in Brasilien (Investor Day, Mai 2026).</w:t>
      </w:r>
    </w:p>
    <w:p>
      <w:pPr>
        <w:pStyle w:val="ListParagraph"/>
        <w:numPr>
          <w:ilvl w:val="0"/>
          <w:numId w:val="1"/>
        </w:numPr>
        <w:spacing w:after="60" w:line="276"/>
      </w:pPr>
      <w:r>
        <w:t xml:space="preserve">Churn-Rate: seit Jahren nicht mehr ausgewiesen.</w:t>
      </w:r>
    </w:p>
    <w:p>
      <w:pPr>
        <w:pStyle w:val="ListParagraph"/>
        <w:numPr>
          <w:ilvl w:val="0"/>
          <w:numId w:val="1"/>
        </w:numPr>
        <w:spacing w:after="60" w:line="276"/>
      </w:pPr>
      <w:r>
        <w:t xml:space="preserve">Exakte Free-Tier-Grenzen wie Tageslimit und Skip-Zahl: von Spotify nicht offiziell dokumentiert.</w:t>
      </w:r>
    </w:p>
    <w:p>
      <w:pPr>
        <w:spacing w:after="120" w:line="276"/>
        <w:jc w:val="both"/>
      </w:pPr>
      <w:r>
        <w:rPr>
          <w:b/>
          <w:bCs/>
        </w:rPr>
        <w:t xml:space="preserve">Daraus folgt die Begründung für eine eigene Erhebung:</w:t>
      </w:r>
      <w:r>
        <w:t xml:space="preserve"> Die Frage, wie Studierende auf den Preisaufschlag reagieren, lässt sich aus Sekundärdaten nicht beantworten. Der Leitfaden verlangt ausdrücklich, vor jeder Primärerhebung zuerst die Sekundärquellen auszuschöpfen – der Abschnitt oben belegt, dass wir das getan haben.</w:t>
      </w:r>
    </w:p>
    <w:p>
      <w:pPr>
        <w:pStyle w:val="Heading1"/>
        <w:spacing w:after="160" w:before="360"/>
      </w:pPr>
      <w:r>
        <w:t xml:space="preserve">6. Optionale Kurzbefragung – Entwurf</w:t>
      </w:r>
    </w:p>
    <w:p>
      <w:pPr>
        <w:spacing w:after="120" w:line="276"/>
        <w:jc w:val="both"/>
      </w:pPr>
      <w:r>
        <w:t xml:space="preserve">Entscheidung steht noch aus. Der Aufwand ist überschaubar: rund drei Minuten Ausfüllzeit, Verteilung im Jahrgang, Ziel mindestens 60 Antworten. Der Ertrag ist erheblich, weil „Qualität der eigenen empirischen Forschung“ ein explizites Bewertungskriterium im Bereich „Eigenständige Leistung“ ist – dem Bereich mit 30 Punkten.</w:t>
      </w:r>
    </w:p>
    <w:p>
      <w:pPr>
        <w:spacing w:after="120" w:line="276"/>
        <w:jc w:val="both"/>
      </w:pPr>
      <w:r>
        <w:rPr>
          <w:b/>
          <w:bCs/>
        </w:rPr>
        <w:t xml:space="preserve">Design:</w:t>
      </w:r>
      <w:r>
        <w:t xml:space="preserve"> quantitativ, deskriptiv, strukturierter Fragebogen mit überwiegend geschlossenen Fragen. Gelegenheitsstichprobe, damit </w:t>
      </w:r>
      <w:r>
        <w:rPr>
          <w:b/>
          <w:bCs/>
        </w:rPr>
        <w:t xml:space="preserve">nicht repräsentativ</w:t>
      </w:r>
      <w:r>
        <w:t xml:space="preserve"> – das ist offen auszuweisen und gehört in die Grenzen des individuellen Fazits.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2820"/>
      </w:tblGrid>
      <w:tr>
        <w:trPr>
          <w:tblHeader/>
        </w:trPr>
        <w:tc>
          <w:tcPr>
            <w:tcW w:type="dxa" w:w="600"/>
            <w:shd w:fill="1A6B4C" w:val="clear"/>
            <w:tcMar>
              <w:top w:type="dxa" w:w="60"/>
              <w:left w:type="dxa" w:w="100"/>
              <w:bottom w:type="dxa" w:w="60"/>
              <w:right w:type="dxa" w:w="100"/>
            </w:tcMar>
          </w:tcPr>
          <w:p>
            <w:pPr>
              <w:spacing w:after="40" w:before="40"/>
            </w:pPr>
            <w:r>
              <w:rPr>
                <w:b/>
                <w:bCs/>
                <w:color w:val="FFFFFF"/>
                <w:sz w:val="18"/>
                <w:szCs w:val="18"/>
              </w:rPr>
              <w:t xml:space="preserve">Nr.</w:t>
            </w:r>
          </w:p>
        </w:tc>
        <w:tc>
          <w:tcPr>
            <w:tcW w:type="dxa" w:w="5600"/>
            <w:shd w:fill="1A6B4C" w:val="clear"/>
            <w:tcMar>
              <w:top w:type="dxa" w:w="60"/>
              <w:left w:type="dxa" w:w="100"/>
              <w:bottom w:type="dxa" w:w="60"/>
              <w:right w:type="dxa" w:w="100"/>
            </w:tcMar>
          </w:tcPr>
          <w:p>
            <w:pPr>
              <w:spacing w:after="40" w:before="40"/>
            </w:pPr>
            <w:r>
              <w:rPr>
                <w:b/>
                <w:bCs/>
                <w:color w:val="FFFFFF"/>
                <w:sz w:val="18"/>
                <w:szCs w:val="18"/>
              </w:rPr>
              <w:t xml:space="preserve">Frage</w:t>
            </w:r>
          </w:p>
        </w:tc>
        <w:tc>
          <w:tcPr>
            <w:tcW w:type="dxa" w:w="2820"/>
            <w:shd w:fill="1A6B4C" w:val="clear"/>
            <w:tcMar>
              <w:top w:type="dxa" w:w="60"/>
              <w:left w:type="dxa" w:w="100"/>
              <w:bottom w:type="dxa" w:w="60"/>
              <w:right w:type="dxa" w:w="100"/>
            </w:tcMar>
          </w:tcPr>
          <w:p>
            <w:pPr>
              <w:spacing w:after="40" w:before="40"/>
            </w:pPr>
            <w:r>
              <w:rPr>
                <w:b/>
                <w:bCs/>
                <w:color w:val="FFFFFF"/>
                <w:sz w:val="18"/>
                <w:szCs w:val="18"/>
              </w:rPr>
              <w:t xml:space="preserve">Zweck im Bericht</w:t>
            </w:r>
          </w:p>
        </w:tc>
      </w:tr>
      <w:tr>
        <w:tc>
          <w:tcPr>
            <w:tcW w:type="dxa" w:w="600"/>
            <w:shd w:fill="FFFFFF" w:val="clear"/>
            <w:tcMar>
              <w:top w:type="dxa" w:w="60"/>
              <w:left w:type="dxa" w:w="100"/>
              <w:bottom w:type="dxa" w:w="60"/>
              <w:right w:type="dxa" w:w="100"/>
            </w:tcMar>
          </w:tcPr>
          <w:p>
            <w:pPr>
              <w:spacing w:after="40" w:before="40"/>
            </w:pPr>
            <w:r>
              <w:rPr>
                <w:b w:val="false"/>
                <w:bCs w:val="false"/>
                <w:color w:val="000000"/>
                <w:sz w:val="18"/>
                <w:szCs w:val="18"/>
              </w:rPr>
              <w:t xml:space="preserve">1</w:t>
            </w:r>
          </w:p>
        </w:tc>
        <w:tc>
          <w:tcPr>
            <w:tcW w:type="dxa" w:w="5600"/>
            <w:shd w:fill="FFFFFF" w:val="clear"/>
            <w:tcMar>
              <w:top w:type="dxa" w:w="60"/>
              <w:left w:type="dxa" w:w="100"/>
              <w:bottom w:type="dxa" w:w="60"/>
              <w:right w:type="dxa" w:w="100"/>
            </w:tcMar>
          </w:tcPr>
          <w:p>
            <w:pPr>
              <w:spacing w:after="40" w:before="40"/>
            </w:pPr>
            <w:r>
              <w:rPr>
                <w:b w:val="false"/>
                <w:bCs w:val="false"/>
                <w:color w:val="000000"/>
                <w:sz w:val="18"/>
                <w:szCs w:val="18"/>
              </w:rPr>
              <w:t xml:space="preserve">Welchen Musikstreamingdienst nutzt du hauptsächlich? (Spotify / Apple Music / Amazon / YouTube Music / Deezer / anderer / keinen)</w:t>
            </w:r>
          </w:p>
        </w:tc>
        <w:tc>
          <w:tcPr>
            <w:tcW w:type="dxa" w:w="2820"/>
            <w:shd w:fill="FFFFFF" w:val="clear"/>
            <w:tcMar>
              <w:top w:type="dxa" w:w="60"/>
              <w:left w:type="dxa" w:w="100"/>
              <w:bottom w:type="dxa" w:w="60"/>
              <w:right w:type="dxa" w:w="100"/>
            </w:tcMar>
          </w:tcPr>
          <w:p>
            <w:pPr>
              <w:spacing w:after="40" w:before="40"/>
            </w:pPr>
            <w:r>
              <w:rPr>
                <w:b w:val="false"/>
                <w:bCs w:val="false"/>
                <w:color w:val="000000"/>
                <w:sz w:val="18"/>
                <w:szCs w:val="18"/>
              </w:rPr>
              <w:t xml:space="preserve">Reichweite im Segment</w:t>
            </w:r>
          </w:p>
        </w:tc>
      </w:tr>
      <w:tr>
        <w:tc>
          <w:tcPr>
            <w:tcW w:type="dxa" w:w="600"/>
            <w:shd w:fill="F2F4F3" w:val="clear"/>
            <w:tcMar>
              <w:top w:type="dxa" w:w="60"/>
              <w:left w:type="dxa" w:w="100"/>
              <w:bottom w:type="dxa" w:w="60"/>
              <w:right w:type="dxa" w:w="100"/>
            </w:tcMar>
          </w:tcPr>
          <w:p>
            <w:pPr>
              <w:spacing w:after="40" w:before="40"/>
            </w:pPr>
            <w:r>
              <w:rPr>
                <w:b w:val="false"/>
                <w:bCs w:val="false"/>
                <w:color w:val="000000"/>
                <w:sz w:val="18"/>
                <w:szCs w:val="18"/>
              </w:rPr>
              <w:t xml:space="preserve">2</w:t>
            </w:r>
          </w:p>
        </w:tc>
        <w:tc>
          <w:tcPr>
            <w:tcW w:type="dxa" w:w="5600"/>
            <w:shd w:fill="F2F4F3" w:val="clear"/>
            <w:tcMar>
              <w:top w:type="dxa" w:w="60"/>
              <w:left w:type="dxa" w:w="100"/>
              <w:bottom w:type="dxa" w:w="60"/>
              <w:right w:type="dxa" w:w="100"/>
            </w:tcMar>
          </w:tcPr>
          <w:p>
            <w:pPr>
              <w:spacing w:after="40" w:before="40"/>
            </w:pPr>
            <w:r>
              <w:rPr>
                <w:b w:val="false"/>
                <w:bCs w:val="false"/>
                <w:color w:val="000000"/>
                <w:sz w:val="18"/>
                <w:szCs w:val="18"/>
              </w:rPr>
              <w:t xml:space="preserve">Welchen Tarif nutzt du? (Gratis / Einzel / Duo / Family / Studierendentarif)</w:t>
            </w:r>
          </w:p>
        </w:tc>
        <w:tc>
          <w:tcPr>
            <w:tcW w:type="dxa" w:w="2820"/>
            <w:shd w:fill="F2F4F3" w:val="clear"/>
            <w:tcMar>
              <w:top w:type="dxa" w:w="60"/>
              <w:left w:type="dxa" w:w="100"/>
              <w:bottom w:type="dxa" w:w="60"/>
              <w:right w:type="dxa" w:w="100"/>
            </w:tcMar>
          </w:tcPr>
          <w:p>
            <w:pPr>
              <w:spacing w:after="40" w:before="40"/>
            </w:pPr>
            <w:r>
              <w:rPr>
                <w:b w:val="false"/>
                <w:bCs w:val="false"/>
                <w:color w:val="000000"/>
                <w:sz w:val="18"/>
                <w:szCs w:val="18"/>
              </w:rPr>
              <w:t xml:space="preserve">Tarifstruktur, Konversionsstand</w:t>
            </w:r>
          </w:p>
        </w:tc>
      </w:tr>
      <w:tr>
        <w:tc>
          <w:tcPr>
            <w:tcW w:type="dxa" w:w="600"/>
            <w:shd w:fill="FFFFFF" w:val="clear"/>
            <w:tcMar>
              <w:top w:type="dxa" w:w="60"/>
              <w:left w:type="dxa" w:w="100"/>
              <w:bottom w:type="dxa" w:w="60"/>
              <w:right w:type="dxa" w:w="100"/>
            </w:tcMar>
          </w:tcPr>
          <w:p>
            <w:pPr>
              <w:spacing w:after="40" w:before="40"/>
            </w:pPr>
            <w:r>
              <w:rPr>
                <w:b w:val="false"/>
                <w:bCs w:val="false"/>
                <w:color w:val="000000"/>
                <w:sz w:val="18"/>
                <w:szCs w:val="18"/>
              </w:rPr>
              <w:t xml:space="preserve">3</w:t>
            </w:r>
          </w:p>
        </w:tc>
        <w:tc>
          <w:tcPr>
            <w:tcW w:type="dxa" w:w="5600"/>
            <w:shd w:fill="FFFFFF" w:val="clear"/>
            <w:tcMar>
              <w:top w:type="dxa" w:w="60"/>
              <w:left w:type="dxa" w:w="100"/>
              <w:bottom w:type="dxa" w:w="60"/>
              <w:right w:type="dxa" w:w="100"/>
            </w:tcMar>
          </w:tcPr>
          <w:p>
            <w:pPr>
              <w:spacing w:after="40" w:before="40"/>
            </w:pPr>
            <w:r>
              <w:rPr>
                <w:b w:val="false"/>
                <w:bCs w:val="false"/>
                <w:color w:val="000000"/>
                <w:sz w:val="18"/>
                <w:szCs w:val="18"/>
              </w:rPr>
              <w:t xml:space="preserve">Wer bezahlt diesen Tarif? (ich allein / ich teile mir die Kosten / jemand anderes zahlt, ich nutze mit)</w:t>
            </w:r>
          </w:p>
        </w:tc>
        <w:tc>
          <w:tcPr>
            <w:tcW w:type="dxa" w:w="2820"/>
            <w:shd w:fill="FFFFFF" w:val="clear"/>
            <w:tcMar>
              <w:top w:type="dxa" w:w="60"/>
              <w:left w:type="dxa" w:w="100"/>
              <w:bottom w:type="dxa" w:w="60"/>
              <w:right w:type="dxa" w:w="100"/>
            </w:tcMar>
          </w:tcPr>
          <w:p>
            <w:pPr>
              <w:spacing w:after="40" w:before="40"/>
            </w:pPr>
            <w:r>
              <w:rPr>
                <w:b w:val="false"/>
                <w:bCs w:val="false"/>
                <w:color w:val="000000"/>
                <w:sz w:val="18"/>
                <w:szCs w:val="18"/>
              </w:rPr>
              <w:t xml:space="preserve">Mitnutzung als verdeckte Konkurrenz zum Kauf</w:t>
            </w:r>
          </w:p>
        </w:tc>
      </w:tr>
      <w:tr>
        <w:tc>
          <w:tcPr>
            <w:tcW w:type="dxa" w:w="600"/>
            <w:shd w:fill="F2F4F3" w:val="clear"/>
            <w:tcMar>
              <w:top w:type="dxa" w:w="60"/>
              <w:left w:type="dxa" w:w="100"/>
              <w:bottom w:type="dxa" w:w="60"/>
              <w:right w:type="dxa" w:w="100"/>
            </w:tcMar>
          </w:tcPr>
          <w:p>
            <w:pPr>
              <w:spacing w:after="40" w:before="40"/>
            </w:pPr>
            <w:r>
              <w:rPr>
                <w:b w:val="false"/>
                <w:bCs w:val="false"/>
                <w:color w:val="000000"/>
                <w:sz w:val="18"/>
                <w:szCs w:val="18"/>
              </w:rPr>
              <w:t xml:space="preserve">4</w:t>
            </w:r>
          </w:p>
        </w:tc>
        <w:tc>
          <w:tcPr>
            <w:tcW w:type="dxa" w:w="5600"/>
            <w:shd w:fill="F2F4F3" w:val="clear"/>
            <w:tcMar>
              <w:top w:type="dxa" w:w="60"/>
              <w:left w:type="dxa" w:w="100"/>
              <w:bottom w:type="dxa" w:w="60"/>
              <w:right w:type="dxa" w:w="100"/>
            </w:tcMar>
          </w:tcPr>
          <w:p>
            <w:pPr>
              <w:spacing w:after="40" w:before="40"/>
            </w:pPr>
            <w:r>
              <w:rPr>
                <w:b w:val="false"/>
                <w:bCs w:val="false"/>
                <w:color w:val="000000"/>
                <w:sz w:val="18"/>
                <w:szCs w:val="18"/>
              </w:rPr>
              <w:t xml:space="preserve">Wie viel gibst du im Monat selbst für Musikstreaming aus? (in Euro)</w:t>
            </w:r>
          </w:p>
        </w:tc>
        <w:tc>
          <w:tcPr>
            <w:tcW w:type="dxa" w:w="2820"/>
            <w:shd w:fill="F2F4F3" w:val="clear"/>
            <w:tcMar>
              <w:top w:type="dxa" w:w="60"/>
              <w:left w:type="dxa" w:w="100"/>
              <w:bottom w:type="dxa" w:w="60"/>
              <w:right w:type="dxa" w:w="100"/>
            </w:tcMar>
          </w:tcPr>
          <w:p>
            <w:pPr>
              <w:spacing w:after="40" w:before="40"/>
            </w:pPr>
            <w:r>
              <w:rPr>
                <w:b w:val="false"/>
                <w:bCs w:val="false"/>
                <w:color w:val="000000"/>
                <w:sz w:val="18"/>
                <w:szCs w:val="18"/>
              </w:rPr>
              <w:t xml:space="preserve">Vergleich mit dem Bitkom-Referenzwert von 11,20 €</w:t>
            </w:r>
          </w:p>
        </w:tc>
      </w:tr>
      <w:tr>
        <w:tc>
          <w:tcPr>
            <w:tcW w:type="dxa" w:w="600"/>
            <w:shd w:fill="FFFFFF" w:val="clear"/>
            <w:tcMar>
              <w:top w:type="dxa" w:w="60"/>
              <w:left w:type="dxa" w:w="100"/>
              <w:bottom w:type="dxa" w:w="60"/>
              <w:right w:type="dxa" w:w="100"/>
            </w:tcMar>
          </w:tcPr>
          <w:p>
            <w:pPr>
              <w:spacing w:after="40" w:before="40"/>
            </w:pPr>
            <w:r>
              <w:rPr>
                <w:b w:val="false"/>
                <w:bCs w:val="false"/>
                <w:color w:val="000000"/>
                <w:sz w:val="18"/>
                <w:szCs w:val="18"/>
              </w:rPr>
              <w:t xml:space="preserve">5</w:t>
            </w:r>
          </w:p>
        </w:tc>
        <w:tc>
          <w:tcPr>
            <w:tcW w:type="dxa" w:w="5600"/>
            <w:shd w:fill="FFFFFF" w:val="clear"/>
            <w:tcMar>
              <w:top w:type="dxa" w:w="60"/>
              <w:left w:type="dxa" w:w="100"/>
              <w:bottom w:type="dxa" w:w="60"/>
              <w:right w:type="dxa" w:w="100"/>
            </w:tcMar>
          </w:tcPr>
          <w:p>
            <w:pPr>
              <w:spacing w:after="40" w:before="40"/>
            </w:pPr>
            <w:r>
              <w:rPr>
                <w:b w:val="false"/>
                <w:bCs w:val="false"/>
                <w:color w:val="000000"/>
                <w:sz w:val="18"/>
                <w:szCs w:val="18"/>
              </w:rPr>
              <w:t xml:space="preserve">Wie lange hörst du täglich ungefähr? (unter 30 Min. / 30–60 / 1–2 Std. / 2–4 / über 4)</w:t>
            </w:r>
          </w:p>
        </w:tc>
        <w:tc>
          <w:tcPr>
            <w:tcW w:type="dxa" w:w="2820"/>
            <w:shd w:fill="FFFFFF" w:val="clear"/>
            <w:tcMar>
              <w:top w:type="dxa" w:w="60"/>
              <w:left w:type="dxa" w:w="100"/>
              <w:bottom w:type="dxa" w:w="60"/>
              <w:right w:type="dxa" w:w="100"/>
            </w:tcMar>
          </w:tcPr>
          <w:p>
            <w:pPr>
              <w:spacing w:after="40" w:before="40"/>
            </w:pPr>
            <w:r>
              <w:rPr>
                <w:b w:val="false"/>
                <w:bCs w:val="false"/>
                <w:color w:val="000000"/>
                <w:sz w:val="18"/>
                <w:szCs w:val="18"/>
              </w:rPr>
              <w:t xml:space="preserve">Nutzungsrate als Segmentierungsvariable</w:t>
            </w:r>
          </w:p>
        </w:tc>
      </w:tr>
      <w:tr>
        <w:tc>
          <w:tcPr>
            <w:tcW w:type="dxa" w:w="600"/>
            <w:shd w:fill="F2F4F3" w:val="clear"/>
            <w:tcMar>
              <w:top w:type="dxa" w:w="60"/>
              <w:left w:type="dxa" w:w="100"/>
              <w:bottom w:type="dxa" w:w="60"/>
              <w:right w:type="dxa" w:w="100"/>
            </w:tcMar>
          </w:tcPr>
          <w:p>
            <w:pPr>
              <w:spacing w:after="40" w:before="40"/>
            </w:pPr>
            <w:r>
              <w:rPr>
                <w:b w:val="false"/>
                <w:bCs w:val="false"/>
                <w:color w:val="000000"/>
                <w:sz w:val="18"/>
                <w:szCs w:val="18"/>
              </w:rPr>
              <w:t xml:space="preserve">6</w:t>
            </w:r>
          </w:p>
        </w:tc>
        <w:tc>
          <w:tcPr>
            <w:tcW w:type="dxa" w:w="5600"/>
            <w:shd w:fill="F2F4F3" w:val="clear"/>
            <w:tcMar>
              <w:top w:type="dxa" w:w="60"/>
              <w:left w:type="dxa" w:w="100"/>
              <w:bottom w:type="dxa" w:w="60"/>
              <w:right w:type="dxa" w:w="100"/>
            </w:tcMar>
          </w:tcPr>
          <w:p>
            <w:pPr>
              <w:spacing w:after="40" w:before="40"/>
            </w:pPr>
            <w:r>
              <w:rPr>
                <w:b w:val="false"/>
                <w:bCs w:val="false"/>
                <w:color w:val="000000"/>
                <w:sz w:val="18"/>
                <w:szCs w:val="18"/>
              </w:rPr>
              <w:t xml:space="preserve">Was nutzt du auf der Plattform? (Mehrfachauswahl: Musik / Podcasts / Hörbücher / Musikvideos)</w:t>
            </w:r>
          </w:p>
        </w:tc>
        <w:tc>
          <w:tcPr>
            <w:tcW w:type="dxa" w:w="2820"/>
            <w:shd w:fill="F2F4F3" w:val="clear"/>
            <w:tcMar>
              <w:top w:type="dxa" w:w="60"/>
              <w:left w:type="dxa" w:w="100"/>
              <w:bottom w:type="dxa" w:w="60"/>
              <w:right w:type="dxa" w:w="100"/>
            </w:tcMar>
          </w:tcPr>
          <w:p>
            <w:pPr>
              <w:spacing w:after="40" w:before="40"/>
            </w:pPr>
            <w:r>
              <w:rPr>
                <w:b w:val="false"/>
                <w:bCs w:val="false"/>
                <w:color w:val="000000"/>
                <w:sz w:val="18"/>
                <w:szCs w:val="18"/>
              </w:rPr>
              <w:t xml:space="preserve">Wirksamkeit der Diversifikation</w:t>
            </w:r>
          </w:p>
        </w:tc>
      </w:tr>
      <w:tr>
        <w:tc>
          <w:tcPr>
            <w:tcW w:type="dxa" w:w="600"/>
            <w:shd w:fill="FFFFFF" w:val="clear"/>
            <w:tcMar>
              <w:top w:type="dxa" w:w="60"/>
              <w:left w:type="dxa" w:w="100"/>
              <w:bottom w:type="dxa" w:w="60"/>
              <w:right w:type="dxa" w:w="100"/>
            </w:tcMar>
          </w:tcPr>
          <w:p>
            <w:pPr>
              <w:spacing w:after="40" w:before="40"/>
            </w:pPr>
            <w:r>
              <w:rPr>
                <w:b w:val="false"/>
                <w:bCs w:val="false"/>
                <w:color w:val="000000"/>
                <w:sz w:val="18"/>
                <w:szCs w:val="18"/>
              </w:rPr>
              <w:t xml:space="preserve">7</w:t>
            </w:r>
          </w:p>
        </w:tc>
        <w:tc>
          <w:tcPr>
            <w:tcW w:type="dxa" w:w="5600"/>
            <w:shd w:fill="FFFFFF" w:val="clear"/>
            <w:tcMar>
              <w:top w:type="dxa" w:w="60"/>
              <w:left w:type="dxa" w:w="100"/>
              <w:bottom w:type="dxa" w:w="60"/>
              <w:right w:type="dxa" w:w="100"/>
            </w:tcMar>
          </w:tcPr>
          <w:p>
            <w:pPr>
              <w:spacing w:after="40" w:before="40"/>
            </w:pPr>
            <w:r>
              <w:rPr>
                <w:b w:val="false"/>
                <w:bCs w:val="false"/>
                <w:color w:val="000000"/>
                <w:sz w:val="18"/>
                <w:szCs w:val="18"/>
              </w:rPr>
              <w:t xml:space="preserve">Wie wichtig sind dir diese sechs Merkmale? (Fünferskala: Katalogumfang, Empfehlungen und Personalisierung, Werbefreiheit, Offline-Nutzung, Klangqualität, Hörbuchkontingent)</w:t>
            </w:r>
          </w:p>
        </w:tc>
        <w:tc>
          <w:tcPr>
            <w:tcW w:type="dxa" w:w="2820"/>
            <w:shd w:fill="FFFFFF" w:val="clear"/>
            <w:tcMar>
              <w:top w:type="dxa" w:w="60"/>
              <w:left w:type="dxa" w:w="100"/>
              <w:bottom w:type="dxa" w:w="60"/>
              <w:right w:type="dxa" w:w="100"/>
            </w:tcMar>
          </w:tcPr>
          <w:p>
            <w:pPr>
              <w:spacing w:after="40" w:before="40"/>
            </w:pPr>
            <w:r>
              <w:rPr>
                <w:b/>
                <w:bCs/>
                <w:color w:val="000000"/>
                <w:sz w:val="18"/>
                <w:szCs w:val="18"/>
              </w:rPr>
              <w:t xml:space="preserve">Kernfrage:</w:t>
            </w:r>
            <w:r>
              <w:rPr>
                <w:b w:val="false"/>
                <w:bCs w:val="false"/>
                <w:color w:val="000000"/>
                <w:sz w:val="18"/>
                <w:szCs w:val="18"/>
              </w:rPr>
              <w:t xml:space="preserve"> Ist Personalisierung ein wichtiges Kaufkriterium? Prüft Kriterium 1 des Wettbewerbsvorteils</w:t>
            </w:r>
          </w:p>
        </w:tc>
      </w:tr>
      <w:tr>
        <w:tc>
          <w:tcPr>
            <w:tcW w:type="dxa" w:w="600"/>
            <w:shd w:fill="F2F4F3" w:val="clear"/>
            <w:tcMar>
              <w:top w:type="dxa" w:w="60"/>
              <w:left w:type="dxa" w:w="100"/>
              <w:bottom w:type="dxa" w:w="60"/>
              <w:right w:type="dxa" w:w="100"/>
            </w:tcMar>
          </w:tcPr>
          <w:p>
            <w:pPr>
              <w:spacing w:after="40" w:before="40"/>
            </w:pPr>
            <w:r>
              <w:rPr>
                <w:b w:val="false"/>
                <w:bCs w:val="false"/>
                <w:color w:val="000000"/>
                <w:sz w:val="18"/>
                <w:szCs w:val="18"/>
              </w:rPr>
              <w:t xml:space="preserve">8</w:t>
            </w:r>
          </w:p>
        </w:tc>
        <w:tc>
          <w:tcPr>
            <w:tcW w:type="dxa" w:w="5600"/>
            <w:shd w:fill="F2F4F3" w:val="clear"/>
            <w:tcMar>
              <w:top w:type="dxa" w:w="60"/>
              <w:left w:type="dxa" w:w="100"/>
              <w:bottom w:type="dxa" w:w="60"/>
              <w:right w:type="dxa" w:w="100"/>
            </w:tcMar>
          </w:tcPr>
          <w:p>
            <w:pPr>
              <w:spacing w:after="40" w:before="40"/>
            </w:pPr>
            <w:r>
              <w:rPr>
                <w:b w:val="false"/>
                <w:bCs w:val="false"/>
                <w:color w:val="000000"/>
                <w:sz w:val="18"/>
                <w:szCs w:val="18"/>
              </w:rPr>
              <w:t xml:space="preserve">Ab welchem Monatspreis würdest du kündigen oder wechseln? (offen, in Euro)</w:t>
            </w:r>
          </w:p>
        </w:tc>
        <w:tc>
          <w:tcPr>
            <w:tcW w:type="dxa" w:w="2820"/>
            <w:shd w:fill="F2F4F3" w:val="clear"/>
            <w:tcMar>
              <w:top w:type="dxa" w:w="60"/>
              <w:left w:type="dxa" w:w="100"/>
              <w:bottom w:type="dxa" w:w="60"/>
              <w:right w:type="dxa" w:w="100"/>
            </w:tcMar>
          </w:tcPr>
          <w:p>
            <w:pPr>
              <w:spacing w:after="40" w:before="40"/>
            </w:pPr>
            <w:r>
              <w:rPr>
                <w:b w:val="false"/>
                <w:bCs w:val="false"/>
                <w:color w:val="000000"/>
                <w:sz w:val="18"/>
                <w:szCs w:val="18"/>
              </w:rPr>
              <w:t xml:space="preserve">Preisschwelle, verhaltensorientierte Preisbildung</w:t>
            </w:r>
          </w:p>
        </w:tc>
      </w:tr>
      <w:tr>
        <w:tc>
          <w:tcPr>
            <w:tcW w:type="dxa" w:w="600"/>
            <w:shd w:fill="FFFFFF" w:val="clear"/>
            <w:tcMar>
              <w:top w:type="dxa" w:w="60"/>
              <w:left w:type="dxa" w:w="100"/>
              <w:bottom w:type="dxa" w:w="60"/>
              <w:right w:type="dxa" w:w="100"/>
            </w:tcMar>
          </w:tcPr>
          <w:p>
            <w:pPr>
              <w:spacing w:after="40" w:before="40"/>
            </w:pPr>
            <w:r>
              <w:rPr>
                <w:b w:val="false"/>
                <w:bCs w:val="false"/>
                <w:color w:val="000000"/>
                <w:sz w:val="18"/>
                <w:szCs w:val="18"/>
              </w:rPr>
              <w:t xml:space="preserve">9</w:t>
            </w:r>
          </w:p>
        </w:tc>
        <w:tc>
          <w:tcPr>
            <w:tcW w:type="dxa" w:w="5600"/>
            <w:shd w:fill="FFFFFF" w:val="clear"/>
            <w:tcMar>
              <w:top w:type="dxa" w:w="60"/>
              <w:left w:type="dxa" w:w="100"/>
              <w:bottom w:type="dxa" w:w="60"/>
              <w:right w:type="dxa" w:w="100"/>
            </w:tcMar>
          </w:tcPr>
          <w:p>
            <w:pPr>
              <w:spacing w:after="40" w:before="40"/>
            </w:pPr>
            <w:r>
              <w:rPr>
                <w:b w:val="false"/>
                <w:bCs w:val="false"/>
                <w:color w:val="000000"/>
                <w:sz w:val="18"/>
                <w:szCs w:val="18"/>
              </w:rPr>
              <w:t xml:space="preserve">Ein anderer Anbieter mit gleichem Katalog kostet 2 € weniger – wie wahrscheinlich würdest du wechseln? (Fünferskala)</w:t>
            </w:r>
          </w:p>
        </w:tc>
        <w:tc>
          <w:tcPr>
            <w:tcW w:type="dxa" w:w="2820"/>
            <w:shd w:fill="FFFFFF" w:val="clear"/>
            <w:tcMar>
              <w:top w:type="dxa" w:w="60"/>
              <w:left w:type="dxa" w:w="100"/>
              <w:bottom w:type="dxa" w:w="60"/>
              <w:right w:type="dxa" w:w="100"/>
            </w:tcMar>
          </w:tcPr>
          <w:p>
            <w:pPr>
              <w:spacing w:after="40" w:before="40"/>
            </w:pPr>
            <w:r>
              <w:rPr>
                <w:b/>
                <w:bCs/>
                <w:color w:val="000000"/>
                <w:sz w:val="18"/>
                <w:szCs w:val="18"/>
              </w:rPr>
              <w:t xml:space="preserve">Kernfrage:</w:t>
            </w:r>
            <w:r>
              <w:rPr>
                <w:b w:val="false"/>
                <w:bCs w:val="false"/>
                <w:color w:val="000000"/>
                <w:sz w:val="18"/>
                <w:szCs w:val="18"/>
              </w:rPr>
              <w:t xml:space="preserve"> Prüft Kriterium 3, die Verteidigbarkeit des Vorteils</w:t>
            </w:r>
          </w:p>
        </w:tc>
      </w:tr>
      <w:tr>
        <w:tc>
          <w:tcPr>
            <w:tcW w:type="dxa" w:w="600"/>
            <w:shd w:fill="F2F4F3" w:val="clear"/>
            <w:tcMar>
              <w:top w:type="dxa" w:w="60"/>
              <w:left w:type="dxa" w:w="100"/>
              <w:bottom w:type="dxa" w:w="60"/>
              <w:right w:type="dxa" w:w="100"/>
            </w:tcMar>
          </w:tcPr>
          <w:p>
            <w:pPr>
              <w:spacing w:after="40" w:before="40"/>
            </w:pPr>
            <w:r>
              <w:rPr>
                <w:b w:val="false"/>
                <w:bCs w:val="false"/>
                <w:color w:val="000000"/>
                <w:sz w:val="18"/>
                <w:szCs w:val="18"/>
              </w:rPr>
              <w:t xml:space="preserve">10</w:t>
            </w:r>
          </w:p>
        </w:tc>
        <w:tc>
          <w:tcPr>
            <w:tcW w:type="dxa" w:w="5600"/>
            <w:shd w:fill="F2F4F3" w:val="clear"/>
            <w:tcMar>
              <w:top w:type="dxa" w:w="60"/>
              <w:left w:type="dxa" w:w="100"/>
              <w:bottom w:type="dxa" w:w="60"/>
              <w:right w:type="dxa" w:w="100"/>
            </w:tcMar>
          </w:tcPr>
          <w:p>
            <w:pPr>
              <w:spacing w:after="40" w:before="40"/>
            </w:pPr>
            <w:r>
              <w:rPr>
                <w:b w:val="false"/>
                <w:bCs w:val="false"/>
                <w:color w:val="000000"/>
                <w:sz w:val="18"/>
                <w:szCs w:val="18"/>
              </w:rPr>
              <w:t xml:space="preserve">Was hält dich bei deinem Dienst? (Mehrfachauswahl: meine Playlists / die Empfehlungen / Gewohnheit / Familientarif / nichts Bestimmtes)</w:t>
            </w:r>
          </w:p>
        </w:tc>
        <w:tc>
          <w:tcPr>
            <w:tcW w:type="dxa" w:w="2820"/>
            <w:shd w:fill="F2F4F3" w:val="clear"/>
            <w:tcMar>
              <w:top w:type="dxa" w:w="60"/>
              <w:left w:type="dxa" w:w="100"/>
              <w:bottom w:type="dxa" w:w="60"/>
              <w:right w:type="dxa" w:w="100"/>
            </w:tcMar>
          </w:tcPr>
          <w:p>
            <w:pPr>
              <w:spacing w:after="40" w:before="40"/>
            </w:pPr>
            <w:r>
              <w:rPr>
                <w:b w:val="false"/>
                <w:bCs w:val="false"/>
                <w:color w:val="000000"/>
                <w:sz w:val="18"/>
                <w:szCs w:val="18"/>
              </w:rPr>
              <w:t xml:space="preserve">Wechselkosten – unterscheidet Personalisierung von bloßer Trägheit</w:t>
            </w:r>
          </w:p>
        </w:tc>
      </w:tr>
      <w:tr>
        <w:tc>
          <w:tcPr>
            <w:tcW w:type="dxa" w:w="600"/>
            <w:shd w:fill="FFFFFF" w:val="clear"/>
            <w:tcMar>
              <w:top w:type="dxa" w:w="60"/>
              <w:left w:type="dxa" w:w="100"/>
              <w:bottom w:type="dxa" w:w="60"/>
              <w:right w:type="dxa" w:w="100"/>
            </w:tcMar>
          </w:tcPr>
          <w:p>
            <w:pPr>
              <w:spacing w:after="40" w:before="40"/>
            </w:pPr>
            <w:r>
              <w:rPr>
                <w:b w:val="false"/>
                <w:bCs w:val="false"/>
                <w:color w:val="000000"/>
                <w:sz w:val="18"/>
                <w:szCs w:val="18"/>
              </w:rPr>
              <w:t xml:space="preserve">11</w:t>
            </w:r>
          </w:p>
        </w:tc>
        <w:tc>
          <w:tcPr>
            <w:tcW w:type="dxa" w:w="5600"/>
            <w:shd w:fill="FFFFFF" w:val="clear"/>
            <w:tcMar>
              <w:top w:type="dxa" w:w="60"/>
              <w:left w:type="dxa" w:w="100"/>
              <w:bottom w:type="dxa" w:w="60"/>
              <w:right w:type="dxa" w:w="100"/>
            </w:tcMar>
          </w:tcPr>
          <w:p>
            <w:pPr>
              <w:spacing w:after="40" w:before="40"/>
            </w:pPr>
            <w:r>
              <w:rPr>
                <w:b w:val="false"/>
                <w:bCs w:val="false"/>
                <w:color w:val="000000"/>
                <w:sz w:val="18"/>
                <w:szCs w:val="18"/>
              </w:rPr>
              <w:t xml:space="preserve">Wusstest du, dass Spotify Premium 12 Hörbuchstunden pro Monat enthält? (ja, nutze ich / ja, nutze ich nicht / nein)</w:t>
            </w:r>
          </w:p>
        </w:tc>
        <w:tc>
          <w:tcPr>
            <w:tcW w:type="dxa" w:w="2820"/>
            <w:shd w:fill="FFFFFF" w:val="clear"/>
            <w:tcMar>
              <w:top w:type="dxa" w:w="60"/>
              <w:left w:type="dxa" w:w="100"/>
              <w:bottom w:type="dxa" w:w="60"/>
              <w:right w:type="dxa" w:w="100"/>
            </w:tcMar>
          </w:tcPr>
          <w:p>
            <w:pPr>
              <w:spacing w:after="40" w:before="40"/>
            </w:pPr>
            <w:r>
              <w:rPr>
                <w:b w:val="false"/>
                <w:bCs w:val="false"/>
                <w:color w:val="000000"/>
                <w:sz w:val="18"/>
                <w:szCs w:val="18"/>
              </w:rPr>
              <w:t xml:space="preserve">Wahrnehmbarkeit – prüft Kriterium 2 des Wettbewerbsvorteils</w:t>
            </w:r>
          </w:p>
        </w:tc>
      </w:tr>
      <w:tr>
        <w:tc>
          <w:tcPr>
            <w:tcW w:type="dxa" w:w="600"/>
            <w:shd w:fill="F2F4F3" w:val="clear"/>
            <w:tcMar>
              <w:top w:type="dxa" w:w="60"/>
              <w:left w:type="dxa" w:w="100"/>
              <w:bottom w:type="dxa" w:w="60"/>
              <w:right w:type="dxa" w:w="100"/>
            </w:tcMar>
          </w:tcPr>
          <w:p>
            <w:pPr>
              <w:spacing w:after="40" w:before="40"/>
            </w:pPr>
            <w:r>
              <w:rPr>
                <w:b w:val="false"/>
                <w:bCs w:val="false"/>
                <w:color w:val="000000"/>
                <w:sz w:val="18"/>
                <w:szCs w:val="18"/>
              </w:rPr>
              <w:t xml:space="preserve">12</w:t>
            </w:r>
          </w:p>
        </w:tc>
        <w:tc>
          <w:tcPr>
            <w:tcW w:type="dxa" w:w="5600"/>
            <w:shd w:fill="F2F4F3" w:val="clear"/>
            <w:tcMar>
              <w:top w:type="dxa" w:w="60"/>
              <w:left w:type="dxa" w:w="100"/>
              <w:bottom w:type="dxa" w:w="60"/>
              <w:right w:type="dxa" w:w="100"/>
            </w:tcMar>
          </w:tcPr>
          <w:p>
            <w:pPr>
              <w:spacing w:after="40" w:before="40"/>
            </w:pPr>
            <w:r>
              <w:rPr>
                <w:b w:val="false"/>
                <w:bCs w:val="false"/>
                <w:color w:val="000000"/>
                <w:sz w:val="18"/>
                <w:szCs w:val="18"/>
              </w:rPr>
              <w:t xml:space="preserve">Alter und Studiengruppe</w:t>
            </w:r>
          </w:p>
        </w:tc>
        <w:tc>
          <w:tcPr>
            <w:tcW w:type="dxa" w:w="2820"/>
            <w:shd w:fill="F2F4F3" w:val="clear"/>
            <w:tcMar>
              <w:top w:type="dxa" w:w="60"/>
              <w:left w:type="dxa" w:w="100"/>
              <w:bottom w:type="dxa" w:w="60"/>
              <w:right w:type="dxa" w:w="100"/>
            </w:tcMar>
          </w:tcPr>
          <w:p>
            <w:pPr>
              <w:spacing w:after="40" w:before="40"/>
            </w:pPr>
            <w:r>
              <w:rPr>
                <w:b w:val="false"/>
                <w:bCs w:val="false"/>
                <w:color w:val="000000"/>
                <w:sz w:val="18"/>
                <w:szCs w:val="18"/>
              </w:rPr>
              <w:t xml:space="preserve">Stichprobenbeschreibung</w:t>
            </w:r>
          </w:p>
        </w:tc>
      </w:tr>
    </w:tbl>
    <w:p>
      <w:pPr>
        <w:pBdr>
          <w:left w:val="single" w:color="1A6B4C" w:sz="18" w:space="8"/>
        </w:pBdr>
        <w:shd w:fill="F2F4F3" w:val="clear"/>
        <w:spacing w:after="160" w:before="120" w:line="276"/>
        <w:ind w:left="120" w:right="120"/>
      </w:pPr>
      <w:r>
        <w:t xml:space="preserve">Die Fragen 7, 9 und 11 sind kein Zufall: Sie prüfen genau die drei Kriterien, die Meffert et al. an einen Wettbewerbsvorteil anlegen – wichtiges Kaufkriterium, Wahrnehmbarkeit, Verteidigbarkeit. Damit ist die Erhebung direkt an die Leitfrage gekoppelt, statt beliebige Zahlen zu produzieren. Fragebogen, Erhebungszeitraum, Rücklauf und Rohdaten gehören vollständig in den Anhang.</w:t>
      </w:r>
    </w:p>
    <w:p>
      <w:pPr>
        <w:pStyle w:val="Heading1"/>
        <w:spacing w:after="160" w:before="360"/>
      </w:pPr>
      <w:r>
        <w:t xml:space="preserve">7. Nächste Schritte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6100"/>
        <w:gridCol w:w="1020"/>
      </w:tblGrid>
      <w:tr>
        <w:trPr>
          <w:tblHeader/>
        </w:trPr>
        <w:tc>
          <w:tcPr>
            <w:tcW w:type="dxa" w:w="1900"/>
            <w:shd w:fill="1A6B4C" w:val="clear"/>
            <w:tcMar>
              <w:top w:type="dxa" w:w="60"/>
              <w:left w:type="dxa" w:w="100"/>
              <w:bottom w:type="dxa" w:w="60"/>
              <w:right w:type="dxa" w:w="100"/>
            </w:tcMar>
          </w:tcPr>
          <w:p>
            <w:pPr>
              <w:spacing w:after="40" w:before="40"/>
            </w:pPr>
            <w:r>
              <w:rPr>
                <w:b/>
                <w:bCs/>
                <w:color w:val="FFFFFF"/>
                <w:sz w:val="18"/>
                <w:szCs w:val="18"/>
              </w:rPr>
              <w:t xml:space="preserve">Wann</w:t>
            </w:r>
          </w:p>
        </w:tc>
        <w:tc>
          <w:tcPr>
            <w:tcW w:type="dxa" w:w="6100"/>
            <w:shd w:fill="1A6B4C" w:val="clear"/>
            <w:tcMar>
              <w:top w:type="dxa" w:w="60"/>
              <w:left w:type="dxa" w:w="100"/>
              <w:bottom w:type="dxa" w:w="60"/>
              <w:right w:type="dxa" w:w="100"/>
            </w:tcMar>
          </w:tcPr>
          <w:p>
            <w:pPr>
              <w:spacing w:after="40" w:before="40"/>
            </w:pPr>
            <w:r>
              <w:rPr>
                <w:b/>
                <w:bCs/>
                <w:color w:val="FFFFFF"/>
                <w:sz w:val="18"/>
                <w:szCs w:val="18"/>
              </w:rPr>
              <w:t xml:space="preserve">Was</w:t>
            </w:r>
          </w:p>
        </w:tc>
        <w:tc>
          <w:tcPr>
            <w:tcW w:type="dxa" w:w="1020"/>
            <w:shd w:fill="1A6B4C" w:val="clear"/>
            <w:tcMar>
              <w:top w:type="dxa" w:w="60"/>
              <w:left w:type="dxa" w:w="100"/>
              <w:bottom w:type="dxa" w:w="60"/>
              <w:right w:type="dxa" w:w="100"/>
            </w:tcMar>
          </w:tcPr>
          <w:p>
            <w:pPr>
              <w:spacing w:after="40" w:before="40"/>
            </w:pPr>
            <w:r>
              <w:rPr>
                <w:b/>
                <w:bCs/>
                <w:color w:val="FFFFFF"/>
                <w:sz w:val="18"/>
                <w:szCs w:val="18"/>
              </w:rPr>
              <w:t xml:space="preserve">Wer</w:t>
            </w:r>
          </w:p>
        </w:tc>
      </w:tr>
      <w:tr>
        <w:tc>
          <w:tcPr>
            <w:tcW w:type="dxa" w:w="1900"/>
            <w:shd w:fill="FFFFFF" w:val="clear"/>
            <w:tcMar>
              <w:top w:type="dxa" w:w="60"/>
              <w:left w:type="dxa" w:w="100"/>
              <w:bottom w:type="dxa" w:w="60"/>
              <w:right w:type="dxa" w:w="100"/>
            </w:tcMar>
          </w:tcPr>
          <w:p>
            <w:pPr>
              <w:spacing w:after="40" w:before="40"/>
            </w:pPr>
            <w:r>
              <w:rPr>
                <w:b/>
                <w:bCs/>
                <w:color w:val="000000"/>
                <w:sz w:val="18"/>
                <w:szCs w:val="18"/>
              </w:rPr>
              <w:t xml:space="preserve">Dienstag, 25.08.</w:t>
            </w:r>
          </w:p>
        </w:tc>
        <w:tc>
          <w:tcPr>
            <w:tcW w:type="dxa" w:w="6100"/>
            <w:shd w:fill="FFFFFF" w:val="clear"/>
            <w:tcMar>
              <w:top w:type="dxa" w:w="60"/>
              <w:left w:type="dxa" w:w="100"/>
              <w:bottom w:type="dxa" w:w="60"/>
              <w:right w:type="dxa" w:w="100"/>
            </w:tcMar>
          </w:tcPr>
          <w:p>
            <w:pPr>
              <w:spacing w:after="40" w:before="40"/>
            </w:pPr>
            <w:r>
              <w:rPr>
                <w:b w:val="false"/>
                <w:bCs w:val="false"/>
                <w:color w:val="000000"/>
                <w:sz w:val="18"/>
                <w:szCs w:val="18"/>
              </w:rPr>
              <w:t xml:space="preserve">Leitfrage und Schwerpunktsetzung mit Prof. Hölter abstimmen und die Zustimmung notieren – der Leitfaden verlangt das ausdrücklich</w:t>
            </w:r>
          </w:p>
        </w:tc>
        <w:tc>
          <w:tcPr>
            <w:tcW w:type="dxa" w:w="1020"/>
            <w:shd w:fill="FFFFFF" w:val="clear"/>
            <w:tcMar>
              <w:top w:type="dxa" w:w="60"/>
              <w:left w:type="dxa" w:w="100"/>
              <w:bottom w:type="dxa" w:w="60"/>
              <w:right w:type="dxa" w:w="100"/>
            </w:tcMar>
          </w:tcPr>
          <w:p>
            <w:pPr>
              <w:spacing w:after="40" w:before="40"/>
            </w:pPr>
          </w:p>
        </w:tc>
      </w:tr>
      <w:tr>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Dienstag, 25.08.</w:t>
            </w:r>
          </w:p>
        </w:tc>
        <w:tc>
          <w:tcPr>
            <w:tcW w:type="dxa" w:w="6100"/>
            <w:shd w:fill="F2F4F3" w:val="clear"/>
            <w:tcMar>
              <w:top w:type="dxa" w:w="60"/>
              <w:left w:type="dxa" w:w="100"/>
              <w:bottom w:type="dxa" w:w="60"/>
              <w:right w:type="dxa" w:w="100"/>
            </w:tcMar>
          </w:tcPr>
          <w:p>
            <w:pPr>
              <w:spacing w:after="40" w:before="40"/>
            </w:pPr>
            <w:r>
              <w:rPr>
                <w:b w:val="false"/>
                <w:bCs w:val="false"/>
                <w:color w:val="000000"/>
                <w:sz w:val="18"/>
                <w:szCs w:val="18"/>
              </w:rPr>
              <w:t xml:space="preserve">Abschnitt 5 dieses Dokuments gemeinsam durchgehen und Kapitel 2 des Berichts festziehen</w:t>
            </w:r>
          </w:p>
        </w:tc>
        <w:tc>
          <w:tcPr>
            <w:tcW w:type="dxa" w:w="1020"/>
            <w:shd w:fill="F2F4F3" w:val="clear"/>
            <w:tcMar>
              <w:top w:type="dxa" w:w="60"/>
              <w:left w:type="dxa" w:w="100"/>
              <w:bottom w:type="dxa" w:w="60"/>
              <w:right w:type="dxa" w:w="100"/>
            </w:tcMar>
          </w:tcPr>
          <w:p>
            <w:pPr>
              <w:spacing w:after="40" w:before="40"/>
            </w:pPr>
            <w:r>
              <w:rPr>
                <w:b w:val="false"/>
                <w:bCs w:val="false"/>
                <w:color w:val="000000"/>
                <w:sz w:val="18"/>
                <w:szCs w:val="18"/>
              </w:rPr>
              <w:t xml:space="preserve">Team</w:t>
            </w:r>
          </w:p>
        </w:tc>
      </w:tr>
      <w:tr>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Dienstag, 25.08.</w:t>
            </w:r>
          </w:p>
        </w:tc>
        <w:tc>
          <w:tcPr>
            <w:tcW w:type="dxa" w:w="6100"/>
            <w:shd w:fill="FFFFFF" w:val="clear"/>
            <w:tcMar>
              <w:top w:type="dxa" w:w="60"/>
              <w:left w:type="dxa" w:w="100"/>
              <w:bottom w:type="dxa" w:w="60"/>
              <w:right w:type="dxa" w:w="100"/>
            </w:tcMar>
          </w:tcPr>
          <w:p>
            <w:pPr>
              <w:spacing w:after="40" w:before="40"/>
            </w:pPr>
            <w:r>
              <w:rPr>
                <w:b w:val="false"/>
                <w:bCs w:val="false"/>
                <w:color w:val="000000"/>
                <w:sz w:val="18"/>
                <w:szCs w:val="18"/>
              </w:rPr>
              <w:t xml:space="preserve">Prüfen, ob die Teammeldung bei der Dozentin eingegangen ist (Frist war der 10.08.2026)</w:t>
            </w:r>
          </w:p>
        </w:tc>
        <w:tc>
          <w:tcPr>
            <w:tcW w:type="dxa" w:w="1020"/>
            <w:shd w:fill="FFFFFF" w:val="clear"/>
            <w:tcMar>
              <w:top w:type="dxa" w:w="60"/>
              <w:left w:type="dxa" w:w="100"/>
              <w:bottom w:type="dxa" w:w="60"/>
              <w:right w:type="dxa" w:w="100"/>
            </w:tcMar>
          </w:tcPr>
          <w:p>
            <w:pPr>
              <w:spacing w:after="40" w:before="40"/>
            </w:pPr>
          </w:p>
        </w:tc>
      </w:tr>
      <w:tr>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Diese Woche</w:t>
            </w:r>
          </w:p>
        </w:tc>
        <w:tc>
          <w:tcPr>
            <w:tcW w:type="dxa" w:w="6100"/>
            <w:shd w:fill="F2F4F3" w:val="clear"/>
            <w:tcMar>
              <w:top w:type="dxa" w:w="60"/>
              <w:left w:type="dxa" w:w="100"/>
              <w:bottom w:type="dxa" w:w="60"/>
              <w:right w:type="dxa" w:w="100"/>
            </w:tcMar>
          </w:tcPr>
          <w:p>
            <w:pPr>
              <w:spacing w:after="40" w:before="40"/>
            </w:pPr>
            <w:r>
              <w:rPr>
                <w:b w:val="false"/>
                <w:bCs w:val="false"/>
                <w:color w:val="000000"/>
                <w:sz w:val="18"/>
                <w:szCs w:val="18"/>
              </w:rPr>
              <w:t xml:space="preserve">Kotler/Armstrong (18th ed.), Homburg (6. Aufl.) und Meffert et al. (13. Aufl.) aus der Bibliothek besorgen – ohne Seitenzahlen ist keine Zitation möglich</w:t>
            </w:r>
          </w:p>
        </w:tc>
        <w:tc>
          <w:tcPr>
            <w:tcW w:type="dxa" w:w="1020"/>
            <w:shd w:fill="F2F4F3" w:val="clear"/>
            <w:tcMar>
              <w:top w:type="dxa" w:w="60"/>
              <w:left w:type="dxa" w:w="100"/>
              <w:bottom w:type="dxa" w:w="60"/>
              <w:right w:type="dxa" w:w="100"/>
            </w:tcMar>
          </w:tcPr>
          <w:p>
            <w:pPr>
              <w:spacing w:after="40" w:before="40"/>
            </w:pPr>
          </w:p>
        </w:tc>
      </w:tr>
      <w:tr>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Diese Woche</w:t>
            </w:r>
          </w:p>
        </w:tc>
        <w:tc>
          <w:tcPr>
            <w:tcW w:type="dxa" w:w="6100"/>
            <w:shd w:fill="FFFFFF" w:val="clear"/>
            <w:tcMar>
              <w:top w:type="dxa" w:w="60"/>
              <w:left w:type="dxa" w:w="100"/>
              <w:bottom w:type="dxa" w:w="60"/>
              <w:right w:type="dxa" w:w="100"/>
            </w:tcMar>
          </w:tcPr>
          <w:p>
            <w:pPr>
              <w:spacing w:after="40" w:before="40"/>
            </w:pPr>
            <w:r>
              <w:rPr>
                <w:b w:val="false"/>
                <w:bCs w:val="false"/>
                <w:color w:val="000000"/>
                <w:sz w:val="18"/>
                <w:szCs w:val="18"/>
              </w:rPr>
              <w:t xml:space="preserve">Mendeley oder Citavi aufsetzen, Chicago Author-Date einstellen, die 10 Kernquellen anlegen</w:t>
            </w:r>
          </w:p>
        </w:tc>
        <w:tc>
          <w:tcPr>
            <w:tcW w:type="dxa" w:w="1020"/>
            <w:shd w:fill="FFFFFF" w:val="clear"/>
            <w:tcMar>
              <w:top w:type="dxa" w:w="60"/>
              <w:left w:type="dxa" w:w="100"/>
              <w:bottom w:type="dxa" w:w="60"/>
              <w:right w:type="dxa" w:w="100"/>
            </w:tcMar>
          </w:tcPr>
          <w:p>
            <w:pPr>
              <w:spacing w:after="40" w:before="40"/>
            </w:pPr>
          </w:p>
        </w:tc>
      </w:tr>
      <w:tr>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Diese Woche</w:t>
            </w:r>
          </w:p>
        </w:tc>
        <w:tc>
          <w:tcPr>
            <w:tcW w:type="dxa" w:w="6100"/>
            <w:shd w:fill="F2F4F3" w:val="clear"/>
            <w:tcMar>
              <w:top w:type="dxa" w:w="60"/>
              <w:left w:type="dxa" w:w="100"/>
              <w:bottom w:type="dxa" w:w="60"/>
              <w:right w:type="dxa" w:w="100"/>
            </w:tcMar>
          </w:tcPr>
          <w:p>
            <w:pPr>
              <w:spacing w:after="40" w:before="40"/>
            </w:pPr>
            <w:r>
              <w:rPr>
                <w:b w:val="false"/>
                <w:bCs w:val="false"/>
                <w:color w:val="000000"/>
                <w:sz w:val="18"/>
                <w:szCs w:val="18"/>
              </w:rPr>
              <w:t xml:space="preserve">Entscheidung über die Befragung; bei Ja: Fragebogen aufsetzen und im Jahrgang verteilen – der Rücklauf braucht Vorlauf</w:t>
            </w:r>
          </w:p>
        </w:tc>
        <w:tc>
          <w:tcPr>
            <w:tcW w:type="dxa" w:w="1020"/>
            <w:shd w:fill="F2F4F3" w:val="clear"/>
            <w:tcMar>
              <w:top w:type="dxa" w:w="60"/>
              <w:left w:type="dxa" w:w="100"/>
              <w:bottom w:type="dxa" w:w="60"/>
              <w:right w:type="dxa" w:w="100"/>
            </w:tcMar>
          </w:tcPr>
          <w:p>
            <w:pPr>
              <w:spacing w:after="40" w:before="40"/>
            </w:pPr>
            <w:r>
              <w:rPr>
                <w:b w:val="false"/>
                <w:bCs w:val="false"/>
                <w:color w:val="000000"/>
                <w:sz w:val="18"/>
                <w:szCs w:val="18"/>
              </w:rPr>
              <w:t xml:space="preserve">Team</w:t>
            </w:r>
          </w:p>
        </w:tc>
      </w:tr>
      <w:tr>
        <w:tc>
          <w:tcPr>
            <w:tcW w:type="dxa" w:w="1900"/>
            <w:shd w:fill="FFFFFF" w:val="clear"/>
            <w:tcMar>
              <w:top w:type="dxa" w:w="60"/>
              <w:left w:type="dxa" w:w="100"/>
              <w:bottom w:type="dxa" w:w="60"/>
              <w:right w:type="dxa" w:w="100"/>
            </w:tcMar>
          </w:tcPr>
          <w:p>
            <w:pPr>
              <w:spacing w:after="40" w:before="40"/>
            </w:pPr>
            <w:r>
              <w:rPr>
                <w:b w:val="false"/>
                <w:bCs w:val="false"/>
                <w:color w:val="000000"/>
                <w:sz w:val="18"/>
                <w:szCs w:val="18"/>
              </w:rPr>
              <w:t xml:space="preserve">Laufend</w:t>
            </w:r>
          </w:p>
        </w:tc>
        <w:tc>
          <w:tcPr>
            <w:tcW w:type="dxa" w:w="6100"/>
            <w:shd w:fill="FFFFFF" w:val="clear"/>
            <w:tcMar>
              <w:top w:type="dxa" w:w="60"/>
              <w:left w:type="dxa" w:w="100"/>
              <w:bottom w:type="dxa" w:w="60"/>
              <w:right w:type="dxa" w:w="100"/>
            </w:tcMar>
          </w:tcPr>
          <w:p>
            <w:pPr>
              <w:spacing w:after="40" w:before="40"/>
            </w:pPr>
            <w:r>
              <w:rPr>
                <w:b/>
                <w:bCs/>
                <w:color w:val="000000"/>
                <w:sz w:val="18"/>
                <w:szCs w:val="18"/>
              </w:rPr>
              <w:t xml:space="preserve">Prompt-Protokoll führen:</w:t>
            </w:r>
            <w:r>
              <w:rPr>
                <w:b w:val="false"/>
                <w:bCs w:val="false"/>
                <w:color w:val="000000"/>
                <w:sz w:val="18"/>
                <w:szCs w:val="18"/>
              </w:rPr>
              <w:t xml:space="preserve"> Tool, Prompt, Datum. Die Liste ist Pflichtbestandteil hinter dem Literaturverzeichnis</w:t>
            </w:r>
          </w:p>
        </w:tc>
        <w:tc>
          <w:tcPr>
            <w:tcW w:type="dxa" w:w="1020"/>
            <w:shd w:fill="FFFFFF" w:val="clear"/>
            <w:tcMar>
              <w:top w:type="dxa" w:w="60"/>
              <w:left w:type="dxa" w:w="100"/>
              <w:bottom w:type="dxa" w:w="60"/>
              <w:right w:type="dxa" w:w="100"/>
            </w:tcMar>
          </w:tcPr>
          <w:p>
            <w:pPr>
              <w:spacing w:after="40" w:before="40"/>
            </w:pPr>
            <w:r>
              <w:rPr>
                <w:b w:val="false"/>
                <w:bCs w:val="false"/>
                <w:color w:val="000000"/>
                <w:sz w:val="18"/>
                <w:szCs w:val="18"/>
              </w:rPr>
              <w:t xml:space="preserve">alle</w:t>
            </w:r>
          </w:p>
        </w:tc>
      </w:tr>
      <w:tr>
        <w:tc>
          <w:tcPr>
            <w:tcW w:type="dxa" w:w="1900"/>
            <w:shd w:fill="F2F4F3" w:val="clear"/>
            <w:tcMar>
              <w:top w:type="dxa" w:w="60"/>
              <w:left w:type="dxa" w:w="100"/>
              <w:bottom w:type="dxa" w:w="60"/>
              <w:right w:type="dxa" w:w="100"/>
            </w:tcMar>
          </w:tcPr>
          <w:p>
            <w:pPr>
              <w:spacing w:after="40" w:before="40"/>
            </w:pPr>
            <w:r>
              <w:rPr>
                <w:b w:val="false"/>
                <w:bCs w:val="false"/>
                <w:color w:val="000000"/>
                <w:sz w:val="18"/>
                <w:szCs w:val="18"/>
              </w:rPr>
              <w:t xml:space="preserve">Vor der Abgabe</w:t>
            </w:r>
          </w:p>
        </w:tc>
        <w:tc>
          <w:tcPr>
            <w:tcW w:type="dxa" w:w="6100"/>
            <w:shd w:fill="F2F4F3" w:val="clear"/>
            <w:tcMar>
              <w:top w:type="dxa" w:w="60"/>
              <w:left w:type="dxa" w:w="100"/>
              <w:bottom w:type="dxa" w:w="60"/>
              <w:right w:type="dxa" w:w="100"/>
            </w:tcMar>
          </w:tcPr>
          <w:p>
            <w:pPr>
              <w:spacing w:after="40" w:before="40"/>
            </w:pPr>
            <w:r>
              <w:rPr>
                <w:b w:val="false"/>
                <w:bCs w:val="false"/>
                <w:color w:val="000000"/>
                <w:sz w:val="18"/>
                <w:szCs w:val="18"/>
              </w:rPr>
              <w:t xml:space="preserve">Zahlen gegen die Primärquellen gegenprüfen; Wortzahl kontrollieren; ehrenwörtliche Erklärung unterschreiben; Dateinamensschema einhalten</w:t>
            </w:r>
          </w:p>
        </w:tc>
        <w:tc>
          <w:tcPr>
            <w:tcW w:type="dxa" w:w="1020"/>
            <w:shd w:fill="F2F4F3" w:val="clear"/>
            <w:tcMar>
              <w:top w:type="dxa" w:w="60"/>
              <w:left w:type="dxa" w:w="100"/>
              <w:bottom w:type="dxa" w:w="60"/>
              <w:right w:type="dxa" w:w="100"/>
            </w:tcMar>
          </w:tcPr>
          <w:p>
            <w:pPr>
              <w:spacing w:after="40" w:before="40"/>
            </w:pPr>
            <w:r>
              <w:rPr>
                <w:b w:val="false"/>
                <w:bCs w:val="false"/>
                <w:color w:val="000000"/>
                <w:sz w:val="18"/>
                <w:szCs w:val="18"/>
              </w:rPr>
              <w:t xml:space="preserve">alle</w:t>
            </w:r>
          </w:p>
        </w:tc>
      </w:tr>
    </w:tbl>
    <w:p>
      <w:pPr>
        <w:pBdr>
          <w:left w:val="single" w:color="1A6B4C" w:sz="18" w:space="8"/>
        </w:pBdr>
        <w:shd w:fill="F2F4F3" w:val="clear"/>
        <w:spacing w:after="160" w:before="120" w:line="276"/>
        <w:ind w:left="120" w:right="120"/>
      </w:pPr>
      <w:r>
        <w:rPr>
          <w:b/>
          <w:bCs/>
        </w:rPr>
        <w:t xml:space="preserve">Ein Hinweis in eigener Sache.</w:t>
      </w:r>
      <w:r>
        <w:t xml:space="preserve"> Dieses Dokument wurde mit KI-Unterstützung erstellt. Nach den Rules and Guidelines der HSBA sind KI-generierte Informationen keine zitierfähigen Quellen; jede hier genannte Zahl muss vor der Verwendung an der angegebenen Primärquelle geprüft werden, und die verwendeten Prompts gehören in die Prompt-Liste des Berichts. Die Struktur, die Argumente und die Formulierungen des Berichts müsst ihr selbst verantworten.</w:t>
      </w:r>
    </w:p>
    <w:sectPr>
      <w:pgSz w:w="11906" w:h="16838" w:orient="portrait"/>
      <w:pgMar w:top="1000" w:right="1130" w:bottom="1000" w:left="11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A6B4C"/>
      <w:sz w:val="30"/>
      <w:szCs w:val="30"/>
    </w:rPr>
  </w:style>
  <w:style w:type="paragraph" w:styleId="Heading2">
    <w:name w:val="Heading 2"/>
    <w:basedOn w:val="Normal"/>
    <w:next w:val="Normal"/>
    <w:qFormat/>
    <w:pPr>
      <w:spacing w:after="120" w:before="280"/>
    </w:pPr>
    <w:rPr>
      <w:rFonts w:ascii="Calibri" w:cs="Calibri" w:eastAsia="Calibri" w:hAnsi="Calibri"/>
      <w:b/>
      <w:bCs/>
      <w:color w:val="222222"/>
      <w:sz w:val="25"/>
      <w:szCs w:val="25"/>
    </w:rPr>
  </w:style>
  <w:style w:type="paragraph" w:styleId="Heading3">
    <w:name w:val="Heading 3"/>
    <w:basedOn w:val="Normal"/>
    <w:next w:val="Normal"/>
    <w:qFormat/>
    <w:pPr>
      <w:spacing w:after="100" w:before="220"/>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Praxisbericht Marketing Management – Spotify</dc:title>
  <dc:creator>Marketing Management – Praxisbericht Spotify</dc:creator>
  <dc:description>Formalia, Fokus, Gliederung, Quellenkonzept und Arbeitspaket Kunden und Märkte</dc:description>
  <cp:lastModifiedBy>Un-named</cp:lastModifiedBy>
  <cp:revision>1</cp:revision>
  <dcterms:created xsi:type="dcterms:W3CDTF">2026-08-24T11:14:47.381Z</dcterms:created>
  <dcterms:modified xsi:type="dcterms:W3CDTF">2026-08-24T11:14:47.381Z</dcterms:modified>
</cp:coreProperties>
</file>

<file path=docProps/custom.xml><?xml version="1.0" encoding="utf-8"?>
<Properties xmlns="http://schemas.openxmlformats.org/officeDocument/2006/custom-properties" xmlns:vt="http://schemas.openxmlformats.org/officeDocument/2006/docPropsVTypes"/>
</file>