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5E43"/>
          <w:spacing w:val="40"/>
          <w:sz w:val="17"/>
          <w:szCs w:val="17"/>
        </w:rPr>
        <w:t xml:space="preserve">HSBA  ·  MARKETING MANAGEMENT  ·  PRAXISBERICHT</w:t>
      </w:r>
    </w:p>
    <w:p>
      <w:pPr>
        <w:spacing w:after="100"/>
      </w:pPr>
      <w:r>
        <w:rPr>
          <w:b/>
          <w:bCs/>
          <w:color w:val="1F2937"/>
          <w:sz w:val="52"/>
          <w:szCs w:val="52"/>
        </w:rPr>
        <w:t xml:space="preserve">Trägt der Preisaufschlag?</w:t>
      </w:r>
    </w:p>
    <w:p>
      <w:pPr>
        <w:pBdr>
          <w:bottom w:val="single" w:color="1B5E43" w:sz="8" w:space="10"/>
        </w:pBdr>
        <w:spacing w:after="240"/>
      </w:pPr>
      <w:r>
        <w:rPr>
          <w:color w:val="5B6470"/>
          <w:sz w:val="26"/>
          <w:szCs w:val="26"/>
        </w:rPr>
        <w:t xml:space="preserve">Kundennutzen, Werbeintrusivität und Preisfairness bei 18- bis 34-jährigen Spotify-Nutzenden in Deutschland</w:t>
      </w:r>
    </w:p>
    <w:p>
      <w:pPr>
        <w:spacing w:after="160"/>
      </w:pP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542"/>
        <w:gridCol w:w="8096"/>
      </w:tblGrid>
      <w:t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8"/>
                <w:szCs w:val="18"/>
              </w:rPr>
              <w:t xml:space="preserve">Arbeitsstand</w:t>
            </w:r>
          </w:p>
        </w:tc>
        <w:tc>
          <w:tcPr>
            <w:tcW w:type="dxa" w:w="8096"/>
            <w:tcMar>
              <w:top w:type="dxa" w:w="60"/>
              <w:left w:type="dxa" w:w="110"/>
              <w:bottom w:type="dxa" w:w="60"/>
              <w:right w:type="dxa" w:w="110"/>
            </w:tcMar>
            <w:vAlign w:val="top"/>
          </w:tcPr>
          <w:p>
            <w:pPr>
              <w:spacing w:after="40" w:before="40" w:line="264"/>
            </w:pPr>
            <w:r>
              <w:rPr>
                <w:b w:val="false"/>
                <w:bCs w:val="false"/>
                <w:color w:val="1F2937"/>
                <w:sz w:val="18"/>
                <w:szCs w:val="18"/>
              </w:rPr>
              <w:t xml:space="preserve">Arbeitsstand 2 — Zusammenführung von Arbeitsstand 1 (Codex) und der Parallelfassung (Claude) nach dem Vergleichsdokument vom 24.08.2026</w:t>
            </w:r>
          </w:p>
        </w:tc>
      </w:tr>
      <w:t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8"/>
                <w:szCs w:val="18"/>
              </w:rPr>
              <w:t xml:space="preserve">Inhalt</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8"/>
                <w:szCs w:val="18"/>
              </w:rPr>
              <w:t xml:space="preserve">Formalia, Leitfrage und These, Forschungsmodell, Gliederung mit Wortbudget und Modellbezug, ausgearbeitetes Arbeitspaket „Kunden und Märkte", Quellenkonzept, Umfragedesign</w:t>
            </w:r>
          </w:p>
        </w:tc>
      </w:tr>
      <w:t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8"/>
                <w:szCs w:val="18"/>
              </w:rPr>
              <w:t xml:space="preserve">Datenstand</w:t>
            </w:r>
          </w:p>
        </w:tc>
        <w:tc>
          <w:tcPr>
            <w:tcW w:type="dxa" w:w="8096"/>
            <w:tcMar>
              <w:top w:type="dxa" w:w="60"/>
              <w:left w:type="dxa" w:w="110"/>
              <w:bottom w:type="dxa" w:w="60"/>
              <w:right w:type="dxa" w:w="110"/>
            </w:tcMar>
            <w:vAlign w:val="top"/>
          </w:tcPr>
          <w:p>
            <w:pPr>
              <w:spacing w:after="40" w:before="40" w:line="264"/>
            </w:pPr>
            <w:r>
              <w:rPr>
                <w:b w:val="false"/>
                <w:bCs w:val="false"/>
                <w:color w:val="1F2937"/>
                <w:sz w:val="18"/>
                <w:szCs w:val="18"/>
              </w:rPr>
              <w:t xml:space="preserve">24. August 2026; jede Marktkennzahl mit eigener Bezugsperiode</w:t>
            </w:r>
          </w:p>
        </w:tc>
      </w:tr>
      <w:t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8"/>
                <w:szCs w:val="18"/>
              </w:rPr>
              <w:t xml:space="preserve">Status</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8"/>
                <w:szCs w:val="18"/>
              </w:rPr>
              <w:t xml:space="preserve">Wissenschaftlich vorbereitete Arbeitsgrundlage — kein abgabefertiger Berichtstext</w:t>
            </w:r>
          </w:p>
        </w:tc>
      </w:tr>
      <w:t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8"/>
                <w:szCs w:val="18"/>
              </w:rPr>
              <w:t xml:space="preserve">Team</w:t>
            </w:r>
          </w:p>
        </w:tc>
        <w:tc>
          <w:tcPr>
            <w:tcW w:type="dxa" w:w="8096"/>
            <w:tcMar>
              <w:top w:type="dxa" w:w="60"/>
              <w:left w:type="dxa" w:w="110"/>
              <w:bottom w:type="dxa" w:w="60"/>
              <w:right w:type="dxa" w:w="110"/>
            </w:tcMar>
            <w:vAlign w:val="top"/>
          </w:tcPr>
          <w:p>
            <w:pPr>
              <w:spacing w:after="40" w:before="40" w:line="264"/>
            </w:pPr>
            <w:r>
              <w:rPr>
                <w:b w:val="false"/>
                <w:bCs w:val="false"/>
                <w:color w:val="1F2937"/>
                <w:sz w:val="18"/>
                <w:szCs w:val="18"/>
              </w:rPr>
              <w:t xml:space="preserve">[Namen ergänzen]  ·  Studiengruppe / Track: [ergänzen]</w:t>
            </w:r>
          </w:p>
        </w:tc>
      </w:tr>
      <w:t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8"/>
                <w:szCs w:val="18"/>
              </w:rPr>
              <w:t xml:space="preserve">Lehrperson</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8"/>
                <w:szCs w:val="18"/>
              </w:rPr>
              <w:t xml:space="preserve">Prof. Dr. Ann-Kristin Hölter  ·  Abgabedatum: [ergänzen]</w:t>
            </w:r>
          </w:p>
        </w:tc>
      </w:tr>
    </w:tbl>
    <w:p>
      <w:pPr>
        <w:spacing w:after="18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Wozu dieses Dokument dient.</w:t>
            </w:r>
            <w:r>
              <w:rPr>
                <w:color w:val="1F2937"/>
                <w:sz w:val="19"/>
                <w:szCs w:val="19"/>
              </w:rPr>
              <w:t xml:space="preserve"> Es führt die beiden unabhängig entstandenen Arbeitsstände vom 24.08.2026 zu einer Fassung zusammen. Basis ist Arbeitsstand 1 mit seinem Forschungsmodell und seiner Quellendisziplin; ergänzt sind die fünf Punkte, in denen die Parallelfassung stärker war — These, Vorlesungsbezug, Kaufverhaltenstyp, Wettbewerbsdynamik und Preisvergleich. Formulierungen sind Arbeitsformulierungen: Für die Abgabe muss der Text vollständig eigenständig ausformuliert werden.</w:t>
            </w:r>
          </w:p>
        </w:tc>
      </w:tr>
    </w:tbl>
    <w:p>
      <w:pPr>
        <w:pStyle w:val="Heading1"/>
        <w:pBdr>
          <w:bottom w:val="single" w:color="1B5E43" w:sz="8" w:space="6"/>
        </w:pBdr>
        <w:spacing w:after="180" w:before="400"/>
      </w:pPr>
      <w:r>
        <w:rPr>
          <w:rFonts w:ascii="Calibri" w:cs="Calibri" w:eastAsia="Calibri" w:hAnsi="Calibri"/>
          <w:b/>
          <w:bCs/>
          <w:color w:val="1F2937"/>
          <w:sz w:val="30"/>
          <w:szCs w:val="30"/>
        </w:rPr>
        <w:t xml:space="preserve">A. Was sich gegenüber Arbeitsstand 1 geändert hat</w:t>
      </w:r>
    </w:p>
    <w:p>
      <w:pPr>
        <w:spacing w:after="140" w:line="288"/>
      </w:pPr>
      <w:r>
        <w:rPr>
          <w:color w:val="1F2937"/>
          <w:sz w:val="21"/>
          <w:szCs w:val="21"/>
        </w:rPr>
        <w:t xml:space="preserve">Die Zusammenführung folgt der Empfehlung des Vergleichsdokuments: Arbeitsstand 1 bleibt die Grundlage, weil er das methodisch stärkere Gerüst hat. Übernommen werden gezielt die Stellen, an denen die Parallelfassung näher am Bewertungsraster liegt.</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386"/>
        <w:gridCol w:w="3855"/>
        <w:gridCol w:w="1542"/>
        <w:gridCol w:w="3855"/>
      </w:tblGrid>
      <w:tr>
        <w:trPr>
          <w:tblHeader/>
        </w:trPr>
        <w:tc>
          <w:tcPr>
            <w:tcW w:type="dxa" w:w="38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w:t>
            </w:r>
          </w:p>
        </w:tc>
        <w:tc>
          <w:tcPr>
            <w:tcW w:type="dxa" w:w="385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Änderung</w:t>
            </w:r>
          </w:p>
        </w:tc>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Herkunft</w:t>
            </w:r>
          </w:p>
        </w:tc>
        <w:tc>
          <w:tcPr>
            <w:tcW w:type="dxa" w:w="385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Warum</w:t>
            </w:r>
          </w:p>
        </w:tc>
      </w:tr>
      <w:tr>
        <w:tc>
          <w:tcPr>
            <w:tcW w:type="dxa" w:w="386"/>
            <w:tcMar>
              <w:top w:type="dxa" w:w="60"/>
              <w:left w:type="dxa" w:w="110"/>
              <w:bottom w:type="dxa" w:w="60"/>
              <w:right w:type="dxa" w:w="110"/>
            </w:tcMar>
            <w:vAlign w:val="top"/>
          </w:tcPr>
          <w:p>
            <w:pPr>
              <w:spacing w:after="40" w:before="40" w:line="264"/>
            </w:pPr>
            <w:r>
              <w:rPr>
                <w:b w:val="false"/>
                <w:bCs w:val="false"/>
                <w:color w:val="1F2937"/>
                <w:sz w:val="17"/>
                <w:szCs w:val="17"/>
              </w:rPr>
              <w:t xml:space="preserve">1</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Die These wird in die Forschungsfrage eingezogen: Der Bericht liefert ein Urteil, nicht nur Zusammenhänge.</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Der Bewertungsbogen verlangt „Entwicklung eigener Ideen" und „Diskussion verschiedener Ansätze". Eine rein korrelative Frage erfüllt das nicht.</w:t>
            </w:r>
          </w:p>
        </w:tc>
      </w:tr>
      <w:tr>
        <w:tc>
          <w:tcPr>
            <w:tcW w:type="dxa" w:w="38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Neue Brückentabelle: die drei Kriterien eines Wettbewerbsvorteils nach Meffert et al. werden je einer Messung im Forschungsmodell zugeordnet.</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neu</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Verbindet das Urteil mit der Empirie, ohne die Hypothesen zu ändern.</w:t>
            </w:r>
          </w:p>
        </w:tc>
      </w:tr>
      <w:tr>
        <w:tc>
          <w:tcPr>
            <w:tcW w:type="dxa" w:w="386"/>
            <w:tcMar>
              <w:top w:type="dxa" w:w="60"/>
              <w:left w:type="dxa" w:w="110"/>
              <w:bottom w:type="dxa" w:w="60"/>
              <w:right w:type="dxa" w:w="110"/>
            </w:tcMar>
            <w:vAlign w:val="top"/>
          </w:tcPr>
          <w:p>
            <w:pPr>
              <w:spacing w:after="40" w:before="40" w:line="264"/>
            </w:pPr>
            <w:r>
              <w:rPr>
                <w:b w:val="false"/>
                <w:bCs w:val="false"/>
                <w:color w:val="1F2937"/>
                <w:sz w:val="17"/>
                <w:szCs w:val="17"/>
              </w:rPr>
              <w:t xml:space="preserve">3</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Marktanteilsentwicklung 2024 → Q4 2025 (MIDiA) ergänzt.</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Liefert die Spannung, aus der die Praxisrelevanz in Kapitel 1 überhaupt entsteht: relativer Anteilsverlust bei gleichzeitig höchstem Preis.</w:t>
            </w:r>
          </w:p>
        </w:tc>
      </w:tr>
      <w:tr>
        <w:tc>
          <w:tcPr>
            <w:tcW w:type="dxa" w:w="38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4</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Kaufverhaltenstyp bestimmt (habituelles Kaufverhalten), SOR-Modell und fünfstufiger Kaufprozess angewandt.</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Schließt eine Lücke bei den Vorlesungsmodellen und liefert die theoretische Brücke zu H1 und H3b.</w:t>
            </w:r>
          </w:p>
        </w:tc>
      </w:tr>
      <w:tr>
        <w:tc>
          <w:tcPr>
            <w:tcW w:type="dxa" w:w="386"/>
            <w:tcMar>
              <w:top w:type="dxa" w:w="60"/>
              <w:left w:type="dxa" w:w="110"/>
              <w:bottom w:type="dxa" w:w="60"/>
              <w:right w:type="dxa" w:w="110"/>
            </w:tcMar>
            <w:vAlign w:val="top"/>
          </w:tcPr>
          <w:p>
            <w:pPr>
              <w:spacing w:after="40" w:before="40" w:line="264"/>
            </w:pPr>
            <w:r>
              <w:rPr>
                <w:b w:val="false"/>
                <w:bCs w:val="false"/>
                <w:color w:val="1F2937"/>
                <w:sz w:val="17"/>
                <w:szCs w:val="17"/>
              </w:rPr>
              <w:t xml:space="preserve">5</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Preistabelle auf sechs Anbieter erweitert, mit Family-, Studierenden- und Gratis-Tarif sowie Datum der letzten Erhöhung. Der Amazon-Preis ist neu belegt.</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 Preis neu geprüft</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H4 misst Preisfairness — relevant ist genau der Vergleich, den Befragte selbst anstellen.</w:t>
            </w:r>
          </w:p>
        </w:tc>
      </w:tr>
      <w:tr>
        <w:tc>
          <w:tcPr>
            <w:tcW w:type="dxa" w:w="38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6</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Modellbezug im Marketing-Mix nachgezogen: je Instrument benannte Modelle aus der Originalliteratur.</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Der Leitfaden verlangt wörtlich, „dass die in den Vorlesungen behandelten Methoden und Techniken angewendet werden".</w:t>
            </w:r>
          </w:p>
        </w:tc>
      </w:tr>
      <w:tr>
        <w:tc>
          <w:tcPr>
            <w:tcW w:type="dxa" w:w="386"/>
            <w:tcMar>
              <w:top w:type="dxa" w:w="60"/>
              <w:left w:type="dxa" w:w="110"/>
              <w:bottom w:type="dxa" w:w="60"/>
              <w:right w:type="dxa" w:w="110"/>
            </w:tcMar>
            <w:vAlign w:val="top"/>
          </w:tcPr>
          <w:p>
            <w:pPr>
              <w:spacing w:after="40" w:before="40" w:line="264"/>
            </w:pPr>
            <w:r>
              <w:rPr>
                <w:b w:val="false"/>
                <w:bCs w:val="false"/>
                <w:color w:val="1F2937"/>
                <w:sz w:val="17"/>
                <w:szCs w:val="17"/>
              </w:rPr>
              <w:t xml:space="preserve">7</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Wortbudget bis auf Unterkapitelebene, zusätzlich ein Umschichtungsplan für den Fall ohne eigene Erhebung.</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 erweitert</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Macht den Umfang steuerbar und entschärft das im Vergleich benannte Umfangsrisiko.</w:t>
            </w:r>
          </w:p>
        </w:tc>
      </w:tr>
      <w:tr>
        <w:tc>
          <w:tcPr>
            <w:tcW w:type="dxa" w:w="38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8</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Marktpotenzial, Marktvolumen und Marktausschöpfung für Deutschland aufgenommen — mit ausgeschriebenen Einschränkungen und ohne konstruierten Spotify-Marktanteil.</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 verschärft</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Das Modell stammt aus der Vorlesung; die Strenge von Arbeitsstand 1 bleibt erhalten, weil kein Anbietermarktanteil daraus abgeleitet wird.</w:t>
            </w:r>
          </w:p>
        </w:tc>
      </w:tr>
      <w:tr>
        <w:tc>
          <w:tcPr>
            <w:tcW w:type="dxa" w:w="386"/>
            <w:tcMar>
              <w:top w:type="dxa" w:w="60"/>
              <w:left w:type="dxa" w:w="110"/>
              <w:bottom w:type="dxa" w:w="60"/>
              <w:right w:type="dxa" w:w="110"/>
            </w:tcMar>
            <w:vAlign w:val="top"/>
          </w:tcPr>
          <w:p>
            <w:pPr>
              <w:spacing w:after="40" w:before="40" w:line="264"/>
            </w:pPr>
            <w:r>
              <w:rPr>
                <w:b w:val="false"/>
                <w:bCs w:val="false"/>
                <w:color w:val="1F2937"/>
                <w:sz w:val="17"/>
                <w:szCs w:val="17"/>
              </w:rPr>
              <w:t xml:space="preserve">9</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Fragebogen um drei Items ergänzt, die genau die drei Kriterien des Wettbewerbsvorteils prüfen.</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Parallelfassung</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Koppelt die Erhebung an die Leitfrage, statt beliebige Zahlen zu erzeugen.</w:t>
            </w:r>
          </w:p>
        </w:tc>
      </w:tr>
      <w:tr>
        <w:tc>
          <w:tcPr>
            <w:tcW w:type="dxa" w:w="38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KI-Dokumentation auf beide Werkzeuge und alle vier Arbeitsaufträge erweitert.</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Vergleichsdokument</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Anhang C führte bisher nur den Codex-Auftrag. Unvollständige Prompt-Listen sind ein Formalfehler.</w:t>
            </w:r>
          </w:p>
        </w:tc>
      </w:tr>
      <w:tr>
        <w:tc>
          <w:tcPr>
            <w:tcW w:type="dxa" w:w="386"/>
            <w:tcMar>
              <w:top w:type="dxa" w:w="60"/>
              <w:left w:type="dxa" w:w="110"/>
              <w:bottom w:type="dxa" w:w="60"/>
              <w:right w:type="dxa" w:w="110"/>
            </w:tcMar>
            <w:vAlign w:val="top"/>
          </w:tcPr>
          <w:p>
            <w:pPr>
              <w:spacing w:after="40" w:before="40" w:line="264"/>
            </w:pPr>
            <w:r>
              <w:rPr>
                <w:b w:val="false"/>
                <w:bCs w:val="false"/>
                <w:color w:val="1F2937"/>
                <w:sz w:val="17"/>
                <w:szCs w:val="17"/>
              </w:rPr>
              <w:t xml:space="preserve">11</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Widersprüche zwischen den Fassungen entschieden und dokumentiert (Abschnitt B).</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neu</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Zwei Fassungen mit unterschiedlichen Zahlen dürfen nicht nebeneinander weiterlaufen.</w:t>
            </w:r>
          </w:p>
        </w:tc>
      </w:tr>
    </w:tbl>
    <w:p>
      <w:pPr>
        <w:spacing w:after="160"/>
      </w:pPr>
    </w:p>
    <w:p>
      <w:pPr>
        <w:pStyle w:val="Heading2"/>
        <w:spacing w:after="120" w:before="280"/>
      </w:pPr>
      <w:r>
        <w:rPr>
          <w:rFonts w:ascii="Calibri" w:cs="Calibri" w:eastAsia="Calibri" w:hAnsi="Calibri"/>
          <w:b/>
          <w:bCs/>
          <w:color w:val="1B5E43"/>
          <w:sz w:val="24"/>
          <w:szCs w:val="24"/>
        </w:rPr>
        <w:t xml:space="preserve">Unverändert aus Arbeitsstand 1 übernommen</w:t>
      </w:r>
    </w:p>
    <w:p>
      <w:pPr>
        <w:pStyle w:val="ListParagraph"/>
        <w:numPr>
          <w:ilvl w:val="0"/>
          <w:numId w:val="2"/>
        </w:numPr>
        <w:spacing w:after="90" w:line="288"/>
      </w:pPr>
      <w:r>
        <w:rPr>
          <w:color w:val="1F2937"/>
          <w:sz w:val="21"/>
          <w:szCs w:val="21"/>
        </w:rPr>
        <w:t xml:space="preserve">Forschungsmodell und Hypothesen H1 bis H4 einschließlich der getrennten Konstrukte.</w:t>
      </w:r>
    </w:p>
    <w:p>
      <w:pPr>
        <w:pStyle w:val="ListParagraph"/>
        <w:numPr>
          <w:ilvl w:val="0"/>
          <w:numId w:val="2"/>
        </w:numPr>
        <w:spacing w:after="90" w:line="288"/>
      </w:pPr>
      <w:r>
        <w:rPr>
          <w:color w:val="1F2937"/>
          <w:sz w:val="21"/>
          <w:szCs w:val="21"/>
        </w:rPr>
        <w:t xml:space="preserve">Claim-Source-Matrix und Quellenprotokoll mit Pflichtfeldern.</w:t>
      </w:r>
    </w:p>
    <w:p>
      <w:pPr>
        <w:pStyle w:val="ListParagraph"/>
        <w:numPr>
          <w:ilvl w:val="0"/>
          <w:numId w:val="2"/>
        </w:numPr>
        <w:spacing w:after="90" w:line="288"/>
      </w:pPr>
      <w:r>
        <w:rPr>
          <w:color w:val="1F2937"/>
          <w:sz w:val="21"/>
          <w:szCs w:val="21"/>
        </w:rPr>
        <w:t xml:space="preserve">SEC-Einreichungen als Primärquelle für Unternehmenszahlen statt der Newsroom-Mitteilung.</w:t>
      </w:r>
    </w:p>
    <w:p>
      <w:pPr>
        <w:pStyle w:val="ListParagraph"/>
        <w:numPr>
          <w:ilvl w:val="0"/>
          <w:numId w:val="2"/>
        </w:numPr>
        <w:spacing w:after="90" w:line="288"/>
      </w:pPr>
      <w:r>
        <w:rPr>
          <w:color w:val="1F2937"/>
          <w:sz w:val="21"/>
          <w:szCs w:val="21"/>
        </w:rPr>
        <w:t xml:space="preserve">Das gesamte Umfragedesign inklusive kognitivem Pretest, technischem Piloten, Einwilligung, Datenschutz und Ausschlussregeln vor Datensichtung.</w:t>
      </w:r>
    </w:p>
    <w:p>
      <w:pPr>
        <w:pStyle w:val="ListParagraph"/>
        <w:numPr>
          <w:ilvl w:val="0"/>
          <w:numId w:val="2"/>
        </w:numPr>
        <w:spacing w:after="90" w:line="288"/>
      </w:pPr>
      <w:r>
        <w:rPr>
          <w:color w:val="1F2937"/>
          <w:sz w:val="21"/>
          <w:szCs w:val="21"/>
        </w:rPr>
        <w:t xml:space="preserve">Persona-Hypothesen, Plattformrollen-Tabelle und die Altersabgrenzung 18 bis 34 Jahre.</w:t>
      </w:r>
    </w:p>
    <w:p>
      <w:pPr>
        <w:pStyle w:val="ListParagraph"/>
        <w:numPr>
          <w:ilvl w:val="0"/>
          <w:numId w:val="2"/>
        </w:numPr>
        <w:spacing w:after="90" w:line="288"/>
      </w:pPr>
      <w:r>
        <w:rPr>
          <w:color w:val="1F2937"/>
          <w:sz w:val="21"/>
          <w:szCs w:val="21"/>
        </w:rPr>
        <w:t xml:space="preserve">Der Verzicht darauf, einen deutschen Anbietermarktanteil zu konstruieren.</w:t>
      </w:r>
    </w:p>
    <w:p>
      <w:pPr>
        <w:pStyle w:val="Heading1"/>
        <w:pBdr>
          <w:bottom w:val="single" w:color="1B5E43" w:sz="8" w:space="6"/>
        </w:pBdr>
        <w:spacing w:after="180" w:before="400"/>
      </w:pPr>
      <w:r>
        <w:rPr>
          <w:rFonts w:ascii="Calibri" w:cs="Calibri" w:eastAsia="Calibri" w:hAnsi="Calibri"/>
          <w:b/>
          <w:bCs/>
          <w:color w:val="1F2937"/>
          <w:sz w:val="30"/>
          <w:szCs w:val="30"/>
        </w:rPr>
        <w:t xml:space="preserve">B. Entschiedene Widersprüche</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446"/>
        <w:gridCol w:w="1928"/>
        <w:gridCol w:w="1928"/>
        <w:gridCol w:w="4336"/>
      </w:tblGrid>
      <w:tr>
        <w:trPr>
          <w:tblHeader/>
        </w:trPr>
        <w:tc>
          <w:tcPr>
            <w:tcW w:type="dxa" w:w="144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Punkt</w:t>
            </w:r>
          </w:p>
        </w:tc>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Arbeitsstand 1</w:t>
            </w:r>
          </w:p>
        </w:tc>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Parallelfassung</w:t>
            </w:r>
          </w:p>
        </w:tc>
        <w:tc>
          <w:tcPr>
            <w:tcW w:type="dxa" w:w="433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Entscheidung für Arbeitsstand 2</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Amazon Music Unlimited, Einzelpreis</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12,99 €; 11,99 € mit Prime</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10,99 €; 9,99 € mit Prime</w:t>
            </w:r>
          </w:p>
        </w:tc>
        <w:tc>
          <w:tcPr>
            <w:tcW w:type="dxa" w:w="4336"/>
            <w:tcMar>
              <w:top w:type="dxa" w:w="60"/>
              <w:left w:type="dxa" w:w="110"/>
              <w:bottom w:type="dxa" w:w="60"/>
              <w:right w:type="dxa" w:w="110"/>
            </w:tcMar>
            <w:vAlign w:val="top"/>
          </w:tcPr>
          <w:p>
            <w:pPr>
              <w:spacing w:after="40" w:before="40" w:line="264"/>
            </w:pPr>
            <w:r>
              <w:rPr>
                <w:b/>
                <w:bCs/>
                <w:color w:val="1F2937"/>
                <w:sz w:val="17"/>
                <w:szCs w:val="17"/>
              </w:rPr>
              <w:t xml:space="preserve">Parallelfassung übernommen.</w:t>
            </w:r>
            <w:r>
              <w:rPr>
                <w:b w:val="false"/>
                <w:bCs w:val="false"/>
                <w:color w:val="1F2937"/>
                <w:sz w:val="17"/>
                <w:szCs w:val="17"/>
              </w:rPr>
              <w:t xml:space="preserve"> Eine unabhängige Sekundärquelle vom 05.01.2026 nennt 10,99 € ohne und 9,99 € mit Prime, Family 16,99 €, Student 5,99 €. Die offizielle About-Amazon-Seite steht weiter auf Stand 08/2024. </w:t>
            </w:r>
            <w:r>
              <w:rPr>
                <w:b/>
                <w:bCs/>
                <w:color w:val="1F2937"/>
                <w:sz w:val="17"/>
                <w:szCs w:val="17"/>
              </w:rPr>
              <w:t xml:space="preserve">Vor Abgabe im eingeloggten Konto prüfen und die Angebotsseite als PDF archivieren</w:t>
            </w:r>
            <w:r>
              <w:rPr>
                <w:b w:val="false"/>
                <w:bCs w:val="false"/>
                <w:color w:val="1F2937"/>
                <w:sz w:val="17"/>
                <w:szCs w:val="17"/>
              </w:rPr>
              <w:t xml:space="preserve"> — bis dahin gilt der Wert als belegt, aber nicht primärquellengesichert.</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Altersgruppe</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18–34 Jahre</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14–29 Jahre</w:t>
            </w:r>
          </w:p>
        </w:tc>
        <w:tc>
          <w:tcPr>
            <w:tcW w:type="dxa" w:w="4336"/>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Arbeitsstand 1.</w:t>
            </w:r>
            <w:r>
              <w:rPr>
                <w:b w:val="false"/>
                <w:bCs w:val="false"/>
                <w:color w:val="1F2937"/>
                <w:sz w:val="17"/>
                <w:szCs w:val="17"/>
              </w:rPr>
              <w:t xml:space="preserve"> Schließt Minderjährige aus der Befragung aus und trifft die Spanne, in der die Zahlungsentscheidung tatsächlich fällt. Sekundärdaten werden im Altersschnitt der jeweiligen Quelle berichtet und der Unterschied jeweils benannt.</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Cut-off-Kriterium</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Widerspruch „drei Bereiche" gegen vier Bewertungsblöcke ausdrücklich markiert</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„drei Bereiche" ungeprüft übernommen</w:t>
            </w:r>
          </w:p>
        </w:tc>
        <w:tc>
          <w:tcPr>
            <w:tcW w:type="dxa" w:w="4336"/>
            <w:tcMar>
              <w:top w:type="dxa" w:w="60"/>
              <w:left w:type="dxa" w:w="110"/>
              <w:bottom w:type="dxa" w:w="60"/>
              <w:right w:type="dxa" w:w="110"/>
            </w:tcMar>
            <w:vAlign w:val="top"/>
          </w:tcPr>
          <w:p>
            <w:pPr>
              <w:spacing w:after="40" w:before="40" w:line="264"/>
            </w:pPr>
            <w:r>
              <w:rPr>
                <w:b/>
                <w:bCs/>
                <w:color w:val="1F2937"/>
                <w:sz w:val="17"/>
                <w:szCs w:val="17"/>
              </w:rPr>
              <w:t xml:space="preserve">Arbeitsstand 1.</w:t>
            </w:r>
            <w:r>
              <w:rPr>
                <w:b w:val="false"/>
                <w:bCs w:val="false"/>
                <w:color w:val="1F2937"/>
                <w:sz w:val="17"/>
                <w:szCs w:val="17"/>
              </w:rPr>
              <w:t xml:space="preserve"> Der Widerspruch wird nicht eigenständig ausgelegt, sondern der Dozentin vorgelegt (Abschnitt 1.3).</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Deutscher Marktanteil</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bewusst nicht konstruiert</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Marktausschöpfungsgrad ≈ 40 % berechnet</w:t>
            </w:r>
          </w:p>
        </w:tc>
        <w:tc>
          <w:tcPr>
            <w:tcW w:type="dxa" w:w="4336"/>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Beides.</w:t>
            </w:r>
            <w:r>
              <w:rPr>
                <w:b w:val="false"/>
                <w:bCs w:val="false"/>
                <w:color w:val="1F2937"/>
                <w:sz w:val="17"/>
                <w:szCs w:val="17"/>
              </w:rPr>
              <w:t xml:space="preserve"> Die Ausschöpfungsrechnung bleibt, weil sie ein Vorlesungsmodell anwendet — aber mit ausgeschriebenen Einschränkungen und ausdrücklich </w:t>
            </w:r>
            <w:r>
              <w:rPr>
                <w:b w:val="false"/>
                <w:bCs w:val="false"/>
                <w:i/>
                <w:iCs/>
                <w:color w:val="1F2937"/>
                <w:sz w:val="17"/>
                <w:szCs w:val="17"/>
              </w:rPr>
              <w:t xml:space="preserve">nicht</w:t>
            </w:r>
            <w:r>
              <w:rPr>
                <w:b w:val="false"/>
                <w:bCs w:val="false"/>
                <w:color w:val="1F2937"/>
                <w:sz w:val="17"/>
                <w:szCs w:val="17"/>
              </w:rPr>
              <w:t xml:space="preserve"> als Marktanteil. Ein Spotify-Marktanteil für Deutschland wird weiterhin nicht gebildet.</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Spotify-Abonnements 2024</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nicht genannt</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236 Mio., korrigiert auf ≈ 263 Mio.</w:t>
            </w:r>
          </w:p>
        </w:tc>
        <w:tc>
          <w:tcPr>
            <w:tcW w:type="dxa" w:w="4336"/>
            <w:tcMar>
              <w:top w:type="dxa" w:w="60"/>
              <w:left w:type="dxa" w:w="110"/>
              <w:bottom w:type="dxa" w:w="60"/>
              <w:right w:type="dxa" w:w="110"/>
            </w:tcMar>
            <w:vAlign w:val="top"/>
          </w:tcPr>
          <w:p>
            <w:pPr>
              <w:spacing w:after="40" w:before="40" w:line="264"/>
            </w:pPr>
            <w:r>
              <w:rPr>
                <w:b/>
                <w:bCs/>
                <w:color w:val="1F2937"/>
                <w:sz w:val="17"/>
                <w:szCs w:val="17"/>
              </w:rPr>
              <w:t xml:space="preserve">263 Mio.</w:t>
            </w:r>
            <w:r>
              <w:rPr>
                <w:b w:val="false"/>
                <w:bCs w:val="false"/>
                <w:color w:val="1F2937"/>
                <w:sz w:val="17"/>
                <w:szCs w:val="17"/>
              </w:rPr>
              <w:t xml:space="preserve"> 32,2 % von 818,3 Mio. Abonnements; deckt sich mit Spotifys Q4-2024-Bericht.</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Herkunft der Marktanteile</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keine Marktanteilsreihe</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MIDiA-Anteile ohne Zugangshinweis</w:t>
            </w:r>
          </w:p>
        </w:tc>
        <w:tc>
          <w:tcPr>
            <w:tcW w:type="dxa" w:w="4336"/>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Neu präzisiert.</w:t>
            </w:r>
            <w:r>
              <w:rPr>
                <w:b w:val="false"/>
                <w:bCs w:val="false"/>
                <w:color w:val="1F2937"/>
                <w:sz w:val="17"/>
                <w:szCs w:val="17"/>
              </w:rPr>
              <w:t xml:space="preserve"> Der MIDiA-Bericht ist kostenpflichtig; die Zahlen sind über Music Business Worldwide zugänglich. Das ist im Text als Sekundärzugang zu kennzeichnen.</w:t>
            </w:r>
          </w:p>
        </w:tc>
      </w:tr>
    </w:tbl>
    <w:p>
      <w:pPr>
        <w:pStyle w:val="Heading1"/>
        <w:pBdr>
          <w:bottom w:val="single" w:color="1B5E43" w:sz="8" w:space="6"/>
        </w:pBdr>
        <w:spacing w:after="180" w:before="400"/>
      </w:pPr>
      <w:r>
        <w:rPr>
          <w:rFonts w:ascii="Calibri" w:cs="Calibri" w:eastAsia="Calibri" w:hAnsi="Calibri"/>
          <w:b/>
          <w:bCs/>
          <w:color w:val="1F2937"/>
          <w:sz w:val="30"/>
          <w:szCs w:val="30"/>
        </w:rPr>
        <w:t xml:space="preserve">1. Verbindliche Arbeitsregeln aus dem Leitfaden</w:t>
      </w:r>
    </w:p>
    <w:p>
      <w:pPr>
        <w:spacing w:after="140" w:line="288"/>
      </w:pPr>
      <w:r>
        <w:rPr>
          <w:color w:val="1F2937"/>
          <w:sz w:val="21"/>
          <w:szCs w:val="21"/>
        </w:rPr>
        <w:t xml:space="preserve">Die folgenden Punkte stammen unmittelbar aus dem modulspezifischen Leitfaden und den „Rules and Guidelines for Written Assignments and Theses". Sie sind nicht verhandelbar und entscheiden über 20 der 100 Punkte sowie über das Bestehen (HSBA 2025, 1–12; HSBA 2026, 1–8).</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349"/>
        <w:gridCol w:w="4241"/>
        <w:gridCol w:w="4048"/>
      </w:tblGrid>
      <w:tr>
        <w:trPr>
          <w:tblHeader/>
        </w:trPr>
        <w:tc>
          <w:tcPr>
            <w:tcW w:type="dxa" w:w="134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Vorgabe</w:t>
            </w:r>
          </w:p>
        </w:tc>
        <w:tc>
          <w:tcPr>
            <w:tcW w:type="dxa" w:w="424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Anforderung</w:t>
            </w:r>
          </w:p>
        </w:tc>
        <w:tc>
          <w:tcPr>
            <w:tcW w:type="dxa" w:w="404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Konsequenz für das Team</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Ziel</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Den gesamten Marketing-Management-Prozess auf ein selbst gewähltes Unternehmen anwenden und kritisch bewerten</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Kein Frage-Antwort-Katalog, keine Unternehmensbeschreibung. Jede Kapitelüberschrift muss eine Aussage tragen.</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Umfang</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4.000–6.000 Wörter einschließlich Fußnoten, ohne Titelblatt, Literaturverzeichnis und Anhang</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Zielkorridor 5.600 Wörter. Wortbudget je Unterkapitel siehe Abschnitt 3.</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Team</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Zwei oder drei Mitglieder; Teamliste schriftlich an die Dozentin</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Meldefrist laut Vorlesungsplan war der 10.08.2026, 18:00 Uhr. </w:t>
            </w:r>
            <w:r>
              <w:rPr>
                <w:b/>
                <w:bCs/>
                <w:color w:val="1F2937"/>
                <w:sz w:val="17"/>
                <w:szCs w:val="17"/>
              </w:rPr>
              <w:t xml:space="preserve">Prüfen, ob das erfolgt ist.</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Individuelles Fazit</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Je Mitglied maximal 300 Wörter, selbständig verfasst, zusätzlich zum Bericht</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Enthält Thesen, praxisrelevante Schlussfolgerungen, kritische Betrachtung des eigenen Vorgehens, Grenzen und Ausblick. Zählt 10 Punkte.</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Unternehmenswahl</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Kein HSBA-Kooperationsunternehmen</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Technology S.A. ist unproblematisch — Bestätigung dennoch einholen.</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Storyline</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Kunden- und Markterkenntnisse führen zur Strategie, diese begründet den Mix und die Empfehlungen</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Jedes Kapitel endet mit einer Aussage, die das nächste Kapitel begründet.</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Wissenschaftlichkeit</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Theorien begründet auswählen und auf den Fall anwenden</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Modellwahl immer begründen: warum dieses Modell für diese Frage.</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Zitation</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Chicago Manual of Style, Author-Date ausdrücklich empfohlen; Seitenangabe bei jeder Quellenart</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Im Text: (Kotler und Armstrong 2020, 184). Nur tatsächlich zitierte und selbst gelesene Quellen ins Verzeichnis.</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Vorlesungsfolien</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Gelten nicht als ausreichende wissenschaftliche Quelle</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Jedes Modell aus der Originalliteratur zitieren: Kotler/Armstrong, Homburg, Meffert et al. — nie das Skript.</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KI-Nutzung</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Kennzeichnung an der Textstelle und vollständige Prompt-Liste (Tool, Prompt, Datum) nach dem Literaturverzeichnis</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Ab sofort ein Prompt-Protokoll führen. KI-Ausgaben sind keine zitierfähigen Quellen; jede Zahl an der Primärquelle prüfen.</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Aufbau</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Deckblatt, Inhaltsverzeichnis mit Seitenzahlen, Abbildungs-, Tabellen- und Abkürzungsverzeichnis, Hauptteil, Literaturverzeichnis, Prompt-Liste, Anhang, Erklärung</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Vorspann römisch, ab Kapitel 1 arabisch nummeriert; Zeilenabstand 1,5.</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Ehrenwörtliche Erklärung</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Wortlaut aus den Rules and Guidelines, Abschnitt 8, unterschrieben</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Deutsche Fassung verwenden; Pflichtbestandteil.</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Abgabe</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PDF über WISEflow am ersten Tag der Prüfungswoche</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Word-Datei und Materialpaket vorsorglich bereithalten. Nicht fristgerecht = Fehlversuch.</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Dateiname</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Studienjahr_TRACK_Studiengruppe_Unternehmen_Studierendenname</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Beispiel: 2025A_BA0x_Spotify_Heinsius — Schema vor der Abgabe gegenprüfen.</w:t>
            </w:r>
          </w:p>
        </w:tc>
      </w:tr>
    </w:tbl>
    <w:p>
      <w:pPr>
        <w:spacing w:after="160"/>
      </w:pPr>
    </w:p>
    <w:p>
      <w:pPr>
        <w:pStyle w:val="Heading2"/>
        <w:spacing w:after="120" w:before="280"/>
      </w:pPr>
      <w:r>
        <w:rPr>
          <w:rFonts w:ascii="Calibri" w:cs="Calibri" w:eastAsia="Calibri" w:hAnsi="Calibri"/>
          <w:b/>
          <w:bCs/>
          <w:color w:val="1B5E43"/>
          <w:sz w:val="24"/>
          <w:szCs w:val="24"/>
        </w:rPr>
        <w:t xml:space="preserve">1.1 Bewertungslogik und was daraus folgt</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3277"/>
        <w:gridCol w:w="771"/>
        <w:gridCol w:w="5590"/>
      </w:tblGrid>
      <w:tr>
        <w:trPr>
          <w:tblHeader/>
        </w:trPr>
        <w:tc>
          <w:tcPr>
            <w:tcW w:type="dxa" w:w="3277"/>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Bewertungsblock</w:t>
            </w:r>
          </w:p>
        </w:tc>
        <w:tc>
          <w:tcPr>
            <w:tcW w:type="dxa" w:w="77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Punkte</w:t>
            </w:r>
          </w:p>
        </w:tc>
        <w:tc>
          <w:tcPr>
            <w:tcW w:type="dxa" w:w="559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Arbeitspriorität</w:t>
            </w:r>
          </w:p>
        </w:tc>
      </w:tr>
      <w:tr>
        <w:tc>
          <w:tcPr>
            <w:tcW w:type="dxa" w:w="3277"/>
            <w:tcMar>
              <w:top w:type="dxa" w:w="60"/>
              <w:left w:type="dxa" w:w="110"/>
              <w:bottom w:type="dxa" w:w="60"/>
              <w:right w:type="dxa" w:w="110"/>
            </w:tcMar>
            <w:vAlign w:val="top"/>
          </w:tcPr>
          <w:p>
            <w:pPr>
              <w:spacing w:after="40" w:before="40" w:line="264"/>
            </w:pPr>
            <w:r>
              <w:rPr>
                <w:b w:val="false"/>
                <w:bCs w:val="false"/>
                <w:color w:val="1F2937"/>
                <w:sz w:val="17"/>
                <w:szCs w:val="17"/>
              </w:rPr>
              <w:t xml:space="preserve">Methodik und wissenschaftliche Anwendung</w:t>
            </w:r>
          </w:p>
        </w:tc>
        <w:tc>
          <w:tcPr>
            <w:tcW w:type="dxa" w:w="771"/>
            <w:tcMar>
              <w:top w:type="dxa" w:w="60"/>
              <w:left w:type="dxa" w:w="110"/>
              <w:bottom w:type="dxa" w:w="60"/>
              <w:right w:type="dxa" w:w="110"/>
            </w:tcMar>
            <w:vAlign w:val="top"/>
          </w:tcPr>
          <w:p>
            <w:pPr>
              <w:spacing w:after="40" w:before="40" w:line="264"/>
            </w:pPr>
            <w:r>
              <w:rPr>
                <w:b w:val="false"/>
                <w:bCs w:val="false"/>
                <w:color w:val="1F2937"/>
                <w:sz w:val="17"/>
                <w:szCs w:val="17"/>
              </w:rPr>
              <w:t xml:space="preserve">40</w:t>
            </w:r>
          </w:p>
        </w:tc>
        <w:tc>
          <w:tcPr>
            <w:tcW w:type="dxa" w:w="5590"/>
            <w:tcMar>
              <w:top w:type="dxa" w:w="60"/>
              <w:left w:type="dxa" w:w="110"/>
              <w:bottom w:type="dxa" w:w="60"/>
              <w:right w:type="dxa" w:w="110"/>
            </w:tcMar>
            <w:vAlign w:val="top"/>
          </w:tcPr>
          <w:p>
            <w:pPr>
              <w:spacing w:after="40" w:before="40" w:line="264"/>
            </w:pPr>
            <w:r>
              <w:rPr>
                <w:b w:val="false"/>
                <w:bCs w:val="false"/>
                <w:color w:val="1F2937"/>
                <w:sz w:val="17"/>
                <w:szCs w:val="17"/>
              </w:rPr>
              <w:t xml:space="preserve">Klare Fragestellung und Abgrenzung, begründete Modellwahl, systematische Nutzung der Vorlesungsmodelle, saubere Forschungslogik, korrekte Belege.</w:t>
            </w:r>
          </w:p>
        </w:tc>
      </w:tr>
      <w:tr>
        <w:tc>
          <w:tcPr>
            <w:tcW w:type="dxa" w:w="327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Eigenständige Leistung</w:t>
            </w:r>
          </w:p>
        </w:tc>
        <w:tc>
          <w:tcPr>
            <w:tcW w:type="dxa" w:w="77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30</w:t>
            </w:r>
          </w:p>
        </w:tc>
        <w:tc>
          <w:tcPr>
            <w:tcW w:type="dxa" w:w="559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Eigene Interpretation statt Beschreibung, durchgehende Argumentationskette, Quellenkritik, Qualität der eigenen Empirie, kritische Empfehlungen.</w:t>
            </w:r>
          </w:p>
        </w:tc>
      </w:tr>
      <w:tr>
        <w:tc>
          <w:tcPr>
            <w:tcW w:type="dxa" w:w="3277"/>
            <w:tcMar>
              <w:top w:type="dxa" w:w="60"/>
              <w:left w:type="dxa" w:w="110"/>
              <w:bottom w:type="dxa" w:w="60"/>
              <w:right w:type="dxa" w:w="110"/>
            </w:tcMar>
            <w:vAlign w:val="top"/>
          </w:tcPr>
          <w:p>
            <w:pPr>
              <w:spacing w:after="40" w:before="40" w:line="264"/>
            </w:pPr>
            <w:r>
              <w:rPr>
                <w:b w:val="false"/>
                <w:bCs w:val="false"/>
                <w:color w:val="1F2937"/>
                <w:sz w:val="17"/>
                <w:szCs w:val="17"/>
              </w:rPr>
              <w:t xml:space="preserve">Individuelle Stellungnahme</w:t>
            </w:r>
          </w:p>
        </w:tc>
        <w:tc>
          <w:tcPr>
            <w:tcW w:type="dxa" w:w="771"/>
            <w:tcMar>
              <w:top w:type="dxa" w:w="60"/>
              <w:left w:type="dxa" w:w="110"/>
              <w:bottom w:type="dxa" w:w="60"/>
              <w:right w:type="dxa" w:w="110"/>
            </w:tcMar>
            <w:vAlign w:val="top"/>
          </w:tcPr>
          <w:p>
            <w:pPr>
              <w:spacing w:after="40" w:before="40" w:line="264"/>
            </w:pPr>
            <w:r>
              <w:rPr>
                <w:b w:val="false"/>
                <w:bCs w:val="false"/>
                <w:color w:val="1F2937"/>
                <w:sz w:val="17"/>
                <w:szCs w:val="17"/>
              </w:rPr>
              <w:t xml:space="preserve">10</w:t>
            </w:r>
          </w:p>
        </w:tc>
        <w:tc>
          <w:tcPr>
            <w:tcW w:type="dxa" w:w="5590"/>
            <w:tcMar>
              <w:top w:type="dxa" w:w="60"/>
              <w:left w:type="dxa" w:w="110"/>
              <w:bottom w:type="dxa" w:w="60"/>
              <w:right w:type="dxa" w:w="110"/>
            </w:tcMar>
            <w:vAlign w:val="top"/>
          </w:tcPr>
          <w:p>
            <w:pPr>
              <w:spacing w:after="40" w:before="40" w:line="264"/>
            </w:pPr>
            <w:r>
              <w:rPr>
                <w:b w:val="false"/>
                <w:bCs w:val="false"/>
                <w:color w:val="1F2937"/>
                <w:sz w:val="17"/>
                <w:szCs w:val="17"/>
              </w:rPr>
              <w:t xml:space="preserve">Je 300 Wörter: Thesen, Managementimplikationen, Selbstkritik, Grenzen, Ausblick.</w:t>
            </w:r>
          </w:p>
        </w:tc>
      </w:tr>
      <w:tr>
        <w:tc>
          <w:tcPr>
            <w:tcW w:type="dxa" w:w="327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Verständlichkeit und formale Qualität</w:t>
            </w:r>
          </w:p>
        </w:tc>
        <w:tc>
          <w:tcPr>
            <w:tcW w:type="dxa" w:w="77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20</w:t>
            </w:r>
          </w:p>
        </w:tc>
        <w:tc>
          <w:tcPr>
            <w:tcW w:type="dxa" w:w="559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Leseführung, konsistente Sprache, Verzeichnisse, Zitation, Abbildungen, Wortgrenze.</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Der gefährlichste Block ist „Eigenständige Leistung".</w:t>
            </w:r>
            <w:r>
              <w:rPr>
                <w:color w:val="1F2937"/>
                <w:sz w:val="19"/>
                <w:szCs w:val="19"/>
              </w:rPr>
              <w:t xml:space="preserve"> Er fällt genau dann durch, wenn der Bericht beschreibt, was Spotify tut, statt es zu bewerten. Die Konstruktion aus Leitfrage, These und Prüfkriterien in Abschnitt 2 ist die Absicherung dagegen.</w:t>
            </w:r>
          </w:p>
        </w:tc>
      </w:tr>
    </w:tbl>
    <w:p>
      <w:pPr>
        <w:pStyle w:val="Heading2"/>
        <w:spacing w:after="120" w:before="280"/>
      </w:pPr>
      <w:r>
        <w:rPr>
          <w:rFonts w:ascii="Calibri" w:cs="Calibri" w:eastAsia="Calibri" w:hAnsi="Calibri"/>
          <w:b/>
          <w:bCs/>
          <w:color w:val="1B5E43"/>
          <w:sz w:val="24"/>
          <w:szCs w:val="24"/>
        </w:rPr>
        <w:t xml:space="preserve">1.2 Der Widerspruch beim Cut-off-Kriterium</w:t>
      </w:r>
    </w:p>
    <w:p>
      <w:pPr>
        <w:spacing w:after="140" w:line="288"/>
      </w:pPr>
      <w:r>
        <w:rPr>
          <w:color w:val="1F2937"/>
          <w:sz w:val="21"/>
          <w:szCs w:val="21"/>
        </w:rPr>
        <w:t xml:space="preserve">Der Leitfaden nennt ein Cut-off bei weniger als 20 Prozent der erreichbaren Punkte in einem Bewertungsbereich und spricht dabei von </w:t>
      </w:r>
      <w:r>
        <w:rPr>
          <w:b/>
          <w:bCs/>
          <w:color w:val="1F2937"/>
          <w:sz w:val="21"/>
          <w:szCs w:val="21"/>
        </w:rPr>
        <w:t xml:space="preserve">drei</w:t>
      </w:r>
      <w:r>
        <w:rPr>
          <w:color w:val="1F2937"/>
          <w:sz w:val="21"/>
          <w:szCs w:val="21"/>
        </w:rPr>
        <w:t xml:space="preserve"> Bereichen. Der Bewertungsbogen enthält jedoch </w:t>
      </w:r>
      <w:r>
        <w:rPr>
          <w:b/>
          <w:bCs/>
          <w:color w:val="1F2937"/>
          <w:sz w:val="21"/>
          <w:szCs w:val="21"/>
        </w:rPr>
        <w:t xml:space="preserve">vier</w:t>
      </w:r>
      <w:r>
        <w:rPr>
          <w:color w:val="1F2937"/>
          <w:sz w:val="21"/>
          <w:szCs w:val="21"/>
        </w:rPr>
        <w:t xml:space="preserve"> Blöcke (40/30/10/20). Diese Unklarheit wird nicht eigenständig ausgelegt.</w:t>
      </w:r>
    </w:p>
    <w:p>
      <w:pPr>
        <w:pStyle w:val="Heading2"/>
        <w:spacing w:after="120" w:before="280"/>
      </w:pPr>
      <w:r>
        <w:rPr>
          <w:rFonts w:ascii="Calibri" w:cs="Calibri" w:eastAsia="Calibri" w:hAnsi="Calibri"/>
          <w:b/>
          <w:bCs/>
          <w:color w:val="1B5E43"/>
          <w:sz w:val="24"/>
          <w:szCs w:val="24"/>
        </w:rPr>
        <w:t xml:space="preserve">1.3 Fragen an die Dozentin — vor der Weiterarbeit</w:t>
      </w:r>
    </w:p>
    <w:p>
      <w:pPr>
        <w:pStyle w:val="ListParagraph"/>
        <w:numPr>
          <w:ilvl w:val="0"/>
          <w:numId w:val="3"/>
        </w:numPr>
        <w:spacing w:after="90" w:line="288"/>
      </w:pPr>
      <w:r>
        <w:rPr>
          <w:color w:val="1F2937"/>
          <w:sz w:val="21"/>
          <w:szCs w:val="21"/>
        </w:rPr>
        <w:t xml:space="preserve">Ist Spotify als Fallunternehmen zulässig und kein ausgeschlossenes Kooperationsunternehmen?</w:t>
      </w:r>
    </w:p>
    <w:p>
      <w:pPr>
        <w:pStyle w:val="ListParagraph"/>
        <w:numPr>
          <w:ilvl w:val="0"/>
          <w:numId w:val="3"/>
        </w:numPr>
        <w:spacing w:after="90" w:line="288"/>
      </w:pPr>
      <w:r>
        <w:rPr>
          <w:color w:val="1F2937"/>
          <w:sz w:val="21"/>
          <w:szCs w:val="21"/>
        </w:rPr>
        <w:t xml:space="preserve">Ist die Vertiefung auf den Freemium-Konversionspfad bei vollständiger, aber knapper Abdeckung aller vier Instrumentalbereiche akzeptiert? Der Leitfaden erlaubt Schwerpunkte ausdrücklich nur „in Absprache mit den Dozent_innen".</w:t>
      </w:r>
    </w:p>
    <w:p>
      <w:pPr>
        <w:pStyle w:val="ListParagraph"/>
        <w:numPr>
          <w:ilvl w:val="0"/>
          <w:numId w:val="3"/>
        </w:numPr>
        <w:spacing w:after="90" w:line="288"/>
      </w:pPr>
      <w:r>
        <w:rPr>
          <w:color w:val="1F2937"/>
          <w:sz w:val="21"/>
          <w:szCs w:val="21"/>
        </w:rPr>
        <w:t xml:space="preserve">Bezieht sich das Cut-off-Kriterium auf drei oder auf vier Bewertungsbereiche?</w:t>
      </w:r>
    </w:p>
    <w:p>
      <w:pPr>
        <w:pStyle w:val="ListParagraph"/>
        <w:numPr>
          <w:ilvl w:val="0"/>
          <w:numId w:val="3"/>
        </w:numPr>
        <w:spacing w:after="90" w:line="288"/>
      </w:pPr>
      <w:r>
        <w:rPr>
          <w:color w:val="1F2937"/>
          <w:sz w:val="21"/>
          <w:szCs w:val="21"/>
        </w:rPr>
        <w:t xml:space="preserve">Zählen die individuellen Stellungnahmen von je maximal 300 Wörtern in die Obergrenze von 6.000 Wörtern?</w:t>
      </w:r>
    </w:p>
    <w:p>
      <w:pPr>
        <w:pStyle w:val="ListParagraph"/>
        <w:numPr>
          <w:ilvl w:val="0"/>
          <w:numId w:val="3"/>
        </w:numPr>
        <w:spacing w:after="90" w:line="288"/>
      </w:pPr>
      <w:r>
        <w:rPr>
          <w:color w:val="1F2937"/>
          <w:sz w:val="21"/>
          <w:szCs w:val="21"/>
        </w:rPr>
        <w:t xml:space="preserve">Welche Dateien verlangt der konkrete WISEflow-Flow: nur PDF, zusätzlich Word, gegebenenfalls ein Material-ZIP?</w:t>
      </w:r>
    </w:p>
    <w:p>
      <w:pPr>
        <w:pStyle w:val="ListParagraph"/>
        <w:numPr>
          <w:ilvl w:val="0"/>
          <w:numId w:val="3"/>
        </w:numPr>
        <w:spacing w:after="90" w:line="288"/>
      </w:pPr>
      <w:r>
        <w:rPr>
          <w:color w:val="1F2937"/>
          <w:sz w:val="21"/>
          <w:szCs w:val="21"/>
        </w:rPr>
        <w:t xml:space="preserve">Welches Datum hat der erste Tag der Prüfungswoche, und ist die Abgabesprache Deutsch verbindlich?</w:t>
      </w:r>
    </w:p>
    <w:p>
      <w:pPr>
        <w:spacing w:after="120"/>
      </w:pPr>
    </w:p>
    <w:p>
      <w:pPr>
        <w:spacing w:after="160" w:line="276"/>
      </w:pPr>
      <w:r>
        <w:rPr>
          <w:i/>
          <w:iCs/>
          <w:color w:val="5B6470"/>
          <w:sz w:val="18"/>
          <w:szCs w:val="18"/>
        </w:rPr>
        <w:t xml:space="preserve">Die Antworten gehören protokolliert — die Zustimmung zur Schwerpunktsetzung ist selbst ein Beleg, auf den sich der Bericht in Kapitel 1.2 beziehen kann.</w:t>
      </w:r>
    </w:p>
    <w:p>
      <w:pPr>
        <w:pStyle w:val="Heading1"/>
        <w:pBdr>
          <w:bottom w:val="single" w:color="1B5E43" w:sz="8" w:space="6"/>
        </w:pBdr>
        <w:spacing w:after="180" w:before="400"/>
      </w:pPr>
      <w:r>
        <w:rPr>
          <w:rFonts w:ascii="Calibri" w:cs="Calibri" w:eastAsia="Calibri" w:hAnsi="Calibri"/>
          <w:b/>
          <w:bCs/>
          <w:color w:val="1F2937"/>
          <w:sz w:val="30"/>
          <w:szCs w:val="30"/>
        </w:rPr>
        <w:t xml:space="preserve">2. Leitfrage, These und Forschungsmodell</w:t>
      </w:r>
    </w:p>
    <w:p>
      <w:pPr>
        <w:spacing w:after="140" w:line="288"/>
      </w:pPr>
      <w:r>
        <w:rPr>
          <w:color w:val="1F2937"/>
          <w:sz w:val="21"/>
          <w:szCs w:val="21"/>
        </w:rPr>
        <w:t xml:space="preserve">Arbeitsstand 1 hatte eine Forschungsfrage, die Parallelfassung eine These. Beides zusammen ergibt die tragfähigere Konstruktion: Die These liefert das Urteil, das der Bewertungsbogen verlangt, die Hypothesen liefern die prüfbare Struktur, die eine wissenschaftliche Arbeit braucht.</w:t>
      </w:r>
    </w:p>
    <w:p>
      <w:pPr>
        <w:pStyle w:val="Heading2"/>
        <w:spacing w:after="120" w:before="280"/>
      </w:pPr>
      <w:r>
        <w:rPr>
          <w:rFonts w:ascii="Calibri" w:cs="Calibri" w:eastAsia="Calibri" w:hAnsi="Calibri"/>
          <w:b/>
          <w:bCs/>
          <w:color w:val="1B5E43"/>
          <w:sz w:val="24"/>
          <w:szCs w:val="24"/>
        </w:rPr>
        <w:t xml:space="preserve">2.1 Die Ausgangsbeobachtung</w:t>
      </w:r>
    </w:p>
    <w:p>
      <w:pPr>
        <w:spacing w:after="140" w:line="288"/>
      </w:pPr>
      <w:r>
        <w:rPr>
          <w:color w:val="1F2937"/>
          <w:sz w:val="21"/>
          <w:szCs w:val="21"/>
        </w:rPr>
        <w:t xml:space="preserve">Eine wissenschaftliche Arbeit braucht eine Spannung, kein Porträt. Die Spannung liegt hier offen:</w:t>
      </w:r>
    </w:p>
    <w:p>
      <w:pPr>
        <w:pStyle w:val="ListParagraph"/>
        <w:numPr>
          <w:ilvl w:val="0"/>
          <w:numId w:val="2"/>
        </w:numPr>
        <w:spacing w:after="90" w:line="288"/>
      </w:pPr>
      <w:r>
        <w:rPr>
          <w:color w:val="1F2937"/>
          <w:sz w:val="21"/>
          <w:szCs w:val="21"/>
        </w:rPr>
        <w:t xml:space="preserve">Spotify ist seit der Preiserhöhung vom 14.08.2025 mit </w:t>
      </w:r>
      <w:r>
        <w:rPr>
          <w:b/>
          <w:bCs/>
          <w:color w:val="1F2937"/>
          <w:sz w:val="21"/>
          <w:szCs w:val="21"/>
        </w:rPr>
        <w:t xml:space="preserve">12,99 €</w:t>
      </w:r>
      <w:r>
        <w:rPr>
          <w:color w:val="1F2937"/>
          <w:sz w:val="21"/>
          <w:szCs w:val="21"/>
        </w:rPr>
        <w:t xml:space="preserve"> der teuerste große Anbieter in Deutschland. Apple Music, YouTube Music und Deezer verlangen 11,99 €, Amazon Music Unlimited 10,99 € beziehungsweise 9,99 € mit Prime.</w:t>
      </w:r>
    </w:p>
    <w:p>
      <w:pPr>
        <w:pStyle w:val="ListParagraph"/>
        <w:numPr>
          <w:ilvl w:val="0"/>
          <w:numId w:val="2"/>
        </w:numPr>
        <w:spacing w:after="90" w:line="288"/>
      </w:pPr>
      <w:r>
        <w:rPr>
          <w:color w:val="1F2937"/>
          <w:sz w:val="21"/>
          <w:szCs w:val="21"/>
        </w:rPr>
        <w:t xml:space="preserve">Die durchschnittlichen monatlichen Ausgaben für Audiostreaming in Deutschland liegen bei </w:t>
      </w:r>
      <w:r>
        <w:rPr>
          <w:b/>
          <w:bCs/>
          <w:color w:val="1F2937"/>
          <w:sz w:val="21"/>
          <w:szCs w:val="21"/>
        </w:rPr>
        <w:t xml:space="preserve">11,20 €</w:t>
      </w:r>
      <w:r>
        <w:rPr>
          <w:color w:val="1F2937"/>
          <w:sz w:val="21"/>
          <w:szCs w:val="21"/>
        </w:rPr>
        <w:t xml:space="preserve"> — unterhalb des Spotify-Preises; 44 Prozent der Streamingnutzenden zahlen überhaupt nichts (Bitkom, Erhebung 2024).</w:t>
      </w:r>
    </w:p>
    <w:p>
      <w:pPr>
        <w:pStyle w:val="ListParagraph"/>
        <w:numPr>
          <w:ilvl w:val="0"/>
          <w:numId w:val="2"/>
        </w:numPr>
        <w:spacing w:after="90" w:line="288"/>
      </w:pPr>
      <w:r>
        <w:rPr>
          <w:color w:val="1F2937"/>
          <w:sz w:val="21"/>
          <w:szCs w:val="21"/>
        </w:rPr>
        <w:t xml:space="preserve">Der Katalog taugt nicht mehr zur Differenzierung: Alle großen Anbieter führen rund 100 Millionen Titel.</w:t>
      </w:r>
    </w:p>
    <w:p>
      <w:pPr>
        <w:pStyle w:val="ListParagraph"/>
        <w:numPr>
          <w:ilvl w:val="0"/>
          <w:numId w:val="2"/>
        </w:numPr>
        <w:spacing w:after="90" w:line="288"/>
      </w:pPr>
      <w:r>
        <w:rPr>
          <w:color w:val="1F2937"/>
          <w:sz w:val="21"/>
          <w:szCs w:val="21"/>
        </w:rPr>
        <w:t xml:space="preserve">Spotifys Anteil an den weltweit bezahlten Abonnements ist von </w:t>
      </w:r>
      <w:r>
        <w:rPr>
          <w:b/>
          <w:bCs/>
          <w:color w:val="1F2937"/>
          <w:sz w:val="21"/>
          <w:szCs w:val="21"/>
        </w:rPr>
        <w:t xml:space="preserve">32,2 %</w:t>
      </w:r>
      <w:r>
        <w:rPr>
          <w:color w:val="1F2937"/>
          <w:sz w:val="21"/>
          <w:szCs w:val="21"/>
        </w:rPr>
        <w:t xml:space="preserve"> (2024) auf </w:t>
      </w:r>
      <w:r>
        <w:rPr>
          <w:b/>
          <w:bCs/>
          <w:color w:val="1F2937"/>
          <w:sz w:val="21"/>
          <w:szCs w:val="21"/>
        </w:rPr>
        <w:t xml:space="preserve">31,4 %</w:t>
      </w:r>
      <w:r>
        <w:rPr>
          <w:color w:val="1F2937"/>
          <w:sz w:val="21"/>
          <w:szCs w:val="21"/>
        </w:rPr>
        <w:t xml:space="preserve"> (Q4 2025) gesunken, während YouTube Music von 10,1 auf 12,4 Prozent zulegte — relativer Anteilsverlust bei kräftigem absolutem Wachstum (MIDiA Research).</w:t>
      </w:r>
    </w:p>
    <w:p>
      <w:pPr>
        <w:spacing w:after="120"/>
      </w:pPr>
    </w:p>
    <w:p>
      <w:pPr>
        <w:spacing w:after="140" w:line="288"/>
      </w:pPr>
      <w:r>
        <w:rPr>
          <w:color w:val="1F2937"/>
          <w:sz w:val="21"/>
          <w:szCs w:val="21"/>
        </w:rPr>
        <w:t xml:space="preserve">Ein Anbieter, der relativ Anteile verliert, erhöht als einziger den Preis über alle Wettbewerber hinaus. Entweder ist das ein Fehler — oder Spotify verfügt über etwas, das den Aufschlag trägt. Genau das ist die Frage.</w:t>
      </w:r>
    </w:p>
    <w:p>
      <w:pPr>
        <w:pStyle w:val="Heading2"/>
        <w:spacing w:after="120" w:before="280"/>
      </w:pPr>
      <w:r>
        <w:rPr>
          <w:rFonts w:ascii="Calibri" w:cs="Calibri" w:eastAsia="Calibri" w:hAnsi="Calibri"/>
          <w:b/>
          <w:bCs/>
          <w:color w:val="1B5E43"/>
          <w:sz w:val="24"/>
          <w:szCs w:val="24"/>
        </w:rPr>
        <w:t xml:space="preserve">2.2 Leitfrage und These</w:t>
      </w: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Leitfrage:</w:t>
            </w:r>
            <w:r>
              <w:rPr>
                <w:color w:val="1F2937"/>
                <w:sz w:val="19"/>
                <w:szCs w:val="19"/>
              </w:rPr>
              <w:t xml:space="preserve"> Wodurch rechtfertigt Spotify in einem Markt mit weitgehend austauschbaren Musikkatalogen einen Preisaufschlag gegenüber allen großen Wettbewerbern — und wie belastbar ist dieser Wettbewerbsvorteil?</w:t>
            </w:r>
          </w:p>
        </w:tc>
      </w:tr>
    </w:tbl>
    <w:p>
      <w:pPr>
        <w:spacing w:after="120"/>
      </w:pPr>
    </w:p>
    <w:p>
      <w:pPr>
        <w:spacing w:after="140" w:line="288"/>
      </w:pPr>
      <w:r>
        <w:rPr>
          <w:b/>
          <w:bCs/>
          <w:color w:val="1F2937"/>
          <w:sz w:val="21"/>
          <w:szCs w:val="21"/>
        </w:rPr>
        <w:t xml:space="preserve">Zu prüfende These:</w:t>
      </w:r>
      <w:r>
        <w:rPr>
          <w:color w:val="1F2937"/>
          <w:sz w:val="21"/>
          <w:szCs w:val="21"/>
        </w:rPr>
        <w:t xml:space="preserve"> Der Preisaufschlag ist nicht durch den Musikkatalog gedeckt, sondern durch zwei Leistungen, die Wettbewerber kurzfristig nicht kopieren können — die auf individueller Hörhistorie beruhende Personalisierung und die Ausweitung des Angebots von Musik auf Podcasts, Hörbücher und Video.</w:t>
      </w:r>
    </w:p>
    <w:p>
      <w:pPr>
        <w:spacing w:after="140" w:line="288"/>
      </w:pPr>
      <w:r>
        <w:rPr>
          <w:color w:val="1F2937"/>
          <w:sz w:val="21"/>
          <w:szCs w:val="21"/>
        </w:rPr>
        <w:t xml:space="preserve">Geprüft wird die These an den drei Kriterien, die Meffert et al. an einen Wettbewerbsvorteil anlegen: Er muss ein </w:t>
      </w:r>
      <w:r>
        <w:rPr>
          <w:b/>
          <w:bCs/>
          <w:color w:val="1F2937"/>
          <w:sz w:val="21"/>
          <w:szCs w:val="21"/>
        </w:rPr>
        <w:t xml:space="preserve">wichtiges Kaufkriterium</w:t>
      </w:r>
      <w:r>
        <w:rPr>
          <w:color w:val="1F2937"/>
          <w:sz w:val="21"/>
          <w:szCs w:val="21"/>
        </w:rPr>
        <w:t xml:space="preserve"> betreffen, für den Kunden </w:t>
      </w:r>
      <w:r>
        <w:rPr>
          <w:b/>
          <w:bCs/>
          <w:color w:val="1F2937"/>
          <w:sz w:val="21"/>
          <w:szCs w:val="21"/>
        </w:rPr>
        <w:t xml:space="preserve">wahrnehmbar</w:t>
      </w:r>
      <w:r>
        <w:rPr>
          <w:color w:val="1F2937"/>
          <w:sz w:val="21"/>
          <w:szCs w:val="21"/>
        </w:rPr>
        <w:t xml:space="preserve"> und </w:t>
      </w:r>
      <w:r>
        <w:rPr>
          <w:b/>
          <w:bCs/>
          <w:color w:val="1F2937"/>
          <w:sz w:val="21"/>
          <w:szCs w:val="21"/>
        </w:rPr>
        <w:t xml:space="preserve">dauerhaft sowie effizient verteidigbar</w:t>
      </w:r>
      <w:r>
        <w:rPr>
          <w:color w:val="1F2937"/>
          <w:sz w:val="21"/>
          <w:szCs w:val="21"/>
        </w:rPr>
        <w:t xml:space="preserve"> sein. Die These ist damit falsifizierbar: Fällt eines der drei Kriterien, trägt der Aufschlag nicht.</w:t>
      </w:r>
    </w:p>
    <w:p>
      <w:pPr>
        <w:pStyle w:val="Heading2"/>
        <w:spacing w:after="120" w:before="280"/>
      </w:pPr>
      <w:r>
        <w:rPr>
          <w:rFonts w:ascii="Calibri" w:cs="Calibri" w:eastAsia="Calibri" w:hAnsi="Calibri"/>
          <w:b/>
          <w:bCs/>
          <w:color w:val="1B5E43"/>
          <w:sz w:val="24"/>
          <w:szCs w:val="24"/>
        </w:rPr>
        <w:t xml:space="preserve">2.3 Forschungsfrage — die operative Ebene</w:t>
      </w:r>
    </w:p>
    <w:p>
      <w:pPr>
        <w:spacing w:after="140" w:line="288"/>
      </w:pPr>
      <w:r>
        <w:rPr>
          <w:color w:val="1F2937"/>
          <w:sz w:val="21"/>
          <w:szCs w:val="21"/>
        </w:rPr>
        <w:t xml:space="preserve">Die These braucht eine Frage, die sich empirisch bearbeiten lässt. Sie bleibt gegenüber Arbeitsstand 1 unverändert, ist der These aber jetzt untergeordnet:</w:t>
      </w:r>
    </w:p>
    <w:tbl>
      <w:tblPr>
        <w:tblW w:type="dxa" w:w="9638"/>
        <w:tblBorders>
          <w:top w:val="none" w:color="F1F5F3" w:sz="0"/>
          <w:left w:val="single" w:color="1B5E43" w:sz="18"/>
          <w:bottom w:val="none" w:color="F1F5F3" w:sz="0"/>
          <w:right w:val="none" w:color="F1F5F3" w:sz="0"/>
          <w:insideH w:val="none" w:color="F1F5F3" w:sz="0"/>
          <w:insideV w:val="none" w:color="F1F5F3" w:sz="0"/>
        </w:tblBorders>
      </w:tblPr>
      <w:tblGrid>
        <w:gridCol w:w="9638"/>
      </w:tblGrid>
      <w:tr>
        <w:tc>
          <w:tcPr>
            <w:tcW w:type="dxa" w:w="9638"/>
            <w:shd w:fill="F1F5F3" w:color="auto" w:val="clear"/>
            <w:tcMar>
              <w:top w:type="dxa" w:w="120"/>
              <w:left w:type="dxa" w:w="180"/>
              <w:bottom w:type="dxa" w:w="120"/>
              <w:right w:type="dxa" w:w="180"/>
            </w:tcMar>
          </w:tcPr>
          <w:p>
            <w:pPr>
              <w:spacing w:after="60" w:before="60" w:line="276"/>
            </w:pPr>
            <w:r>
              <w:rPr>
                <w:color w:val="1F2937"/>
                <w:sz w:val="19"/>
                <w:szCs w:val="19"/>
              </w:rPr>
              <w:t xml:space="preserve">Welche wahrgenommenen Nutzen- und Kostenfaktoren hängen bei 18- bis 34-jährigen Spotify-Nutzenden in Deutschland mit Upgrade-, Bindungs- und Wechselabsichten zusammen, und welche Implikationen ergeben sich daraus für Spotifys Marketing-Mix?</w:t>
            </w:r>
          </w:p>
        </w:tc>
      </w:tr>
    </w:tbl>
    <w:p>
      <w:pPr>
        <w:spacing w:after="120"/>
      </w:pPr>
    </w:p>
    <w:p>
      <w:pPr>
        <w:spacing w:after="140" w:line="288"/>
      </w:pPr>
      <w:r>
        <w:rPr>
          <w:b/>
          <w:bCs/>
          <w:color w:val="1F2937"/>
          <w:sz w:val="21"/>
          <w:szCs w:val="21"/>
        </w:rPr>
        <w:t xml:space="preserve">Arbeitstitel:</w:t>
      </w:r>
      <w:r>
        <w:rPr>
          <w:color w:val="1F2937"/>
          <w:sz w:val="21"/>
          <w:szCs w:val="21"/>
        </w:rPr>
        <w:t xml:space="preserve"> Trägt der Preisaufschlag? Kundennutzen, Werbeintrusivität und Preisfairness bei 18- bis 34-jährigen Spotify-Nutzenden in Deutschland.</w:t>
      </w:r>
    </w:p>
    <w:p>
      <w:pPr>
        <w:pStyle w:val="Heading2"/>
        <w:spacing w:after="120" w:before="280"/>
      </w:pPr>
      <w:r>
        <w:rPr>
          <w:rFonts w:ascii="Calibri" w:cs="Calibri" w:eastAsia="Calibri" w:hAnsi="Calibri"/>
          <w:b/>
          <w:bCs/>
          <w:color w:val="1B5E43"/>
          <w:sz w:val="24"/>
          <w:szCs w:val="24"/>
        </w:rPr>
        <w:t xml:space="preserve">2.4 Erkenntnisinteresse</w:t>
      </w:r>
    </w:p>
    <w:p>
      <w:pPr>
        <w:spacing w:after="140" w:line="288"/>
      </w:pPr>
      <w:r>
        <w:rPr>
          <w:color w:val="1F2937"/>
          <w:sz w:val="21"/>
          <w:szCs w:val="21"/>
        </w:rPr>
        <w:t xml:space="preserve">Das Freemium-Modell erzeugt ein strategisches Spannungsfeld: Das kostenlose Angebot soll Reichweite, Werbekontakte und einen Konversionspfad schaffen, darf aber nicht so stark eingeschränkt werden, dass Nutzende abwandern. Die Forschung zeigt, dass Upgrade und Premium-Bindung nicht zwingend von denselben Nutzenkomponenten getragen werden (Mäntymäki, Islam und Benbasat 2020, 295–333; Wagner, Benlian und Hess 2014, 259–268). Zugleich kann mangelnde Kontrolle über Werbung Intrusivität und Reaktanz erhöhen (Riedel et al. 2025, 322–341). Diese Logik verbindet Kundenanalyse, Strategie und Marketing-Mix unmittelbar — und sie ist der Mechanismus, über den ein Preisaufschlag entweder getragen oder abgestraft wird.</w:t>
      </w:r>
    </w:p>
    <w:p>
      <w:pPr>
        <w:pStyle w:val="Heading2"/>
        <w:spacing w:after="120" w:before="280"/>
      </w:pPr>
      <w:r>
        <w:rPr>
          <w:rFonts w:ascii="Calibri" w:cs="Calibri" w:eastAsia="Calibri" w:hAnsi="Calibri"/>
          <w:b/>
          <w:bCs/>
          <w:color w:val="1B5E43"/>
          <w:sz w:val="24"/>
          <w:szCs w:val="24"/>
        </w:rPr>
        <w:t xml:space="preserve">2.5 Arbeitshypothesen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675"/>
        <w:gridCol w:w="6072"/>
        <w:gridCol w:w="2891"/>
      </w:tblGrid>
      <w:tr>
        <w:trPr>
          <w:tblHeader/>
        </w:trPr>
        <w:tc>
          <w:tcPr>
            <w:tcW w:type="dxa" w:w="67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Nr.</w:t>
            </w:r>
          </w:p>
        </w:tc>
        <w:tc>
          <w:tcPr>
            <w:tcW w:type="dxa" w:w="607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Hypothese</w:t>
            </w:r>
          </w:p>
        </w:tc>
        <w:tc>
          <w:tcPr>
            <w:tcW w:type="dxa" w:w="289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Relevanter Hebel</w:t>
            </w:r>
          </w:p>
        </w:tc>
      </w:tr>
      <w:tr>
        <w:tc>
          <w:tcPr>
            <w:tcW w:type="dxa" w:w="675"/>
            <w:tcMar>
              <w:top w:type="dxa" w:w="60"/>
              <w:left w:type="dxa" w:w="110"/>
              <w:bottom w:type="dxa" w:w="60"/>
              <w:right w:type="dxa" w:w="110"/>
            </w:tcMar>
            <w:vAlign w:val="top"/>
          </w:tcPr>
          <w:p>
            <w:pPr>
              <w:spacing w:after="40" w:before="40" w:line="264"/>
            </w:pPr>
            <w:r>
              <w:rPr>
                <w:b w:val="false"/>
                <w:bCs w:val="false"/>
                <w:color w:val="1F2937"/>
                <w:sz w:val="17"/>
                <w:szCs w:val="17"/>
              </w:rPr>
              <w:t xml:space="preserve">H1</w:t>
            </w:r>
          </w:p>
        </w:tc>
        <w:tc>
          <w:tcPr>
            <w:tcW w:type="dxa" w:w="6072"/>
            <w:tcMar>
              <w:top w:type="dxa" w:w="60"/>
              <w:left w:type="dxa" w:w="110"/>
              <w:bottom w:type="dxa" w:w="60"/>
              <w:right w:type="dxa" w:w="110"/>
            </w:tcMar>
            <w:vAlign w:val="top"/>
          </w:tcPr>
          <w:p>
            <w:pPr>
              <w:spacing w:after="40" w:before="40" w:line="264"/>
            </w:pPr>
            <w:r>
              <w:rPr>
                <w:b w:val="false"/>
                <w:bCs w:val="false"/>
                <w:color w:val="1F2937"/>
                <w:sz w:val="17"/>
                <w:szCs w:val="17"/>
              </w:rPr>
              <w:t xml:space="preserve">Je höher der wahrgenommene Gesamtwert von Spotify, desto höher sind Zufriedenheit und Weiternutzungsabsicht.</w:t>
            </w:r>
          </w:p>
        </w:tc>
        <w:tc>
          <w:tcPr>
            <w:tcW w:type="dxa" w:w="2891"/>
            <w:tcMar>
              <w:top w:type="dxa" w:w="60"/>
              <w:left w:type="dxa" w:w="110"/>
              <w:bottom w:type="dxa" w:w="60"/>
              <w:right w:type="dxa" w:w="110"/>
            </w:tcMar>
            <w:vAlign w:val="top"/>
          </w:tcPr>
          <w:p>
            <w:pPr>
              <w:spacing w:after="40" w:before="40" w:line="264"/>
            </w:pPr>
            <w:r>
              <w:rPr>
                <w:b w:val="false"/>
                <w:bCs w:val="false"/>
                <w:color w:val="1F2937"/>
                <w:sz w:val="17"/>
                <w:szCs w:val="17"/>
              </w:rPr>
              <w:t xml:space="preserve">Product / Beziehung</w:t>
            </w:r>
          </w:p>
        </w:tc>
      </w:tr>
      <w:tr>
        <w:tc>
          <w:tcPr>
            <w:tcW w:type="dxa" w:w="67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H2</w:t>
            </w:r>
          </w:p>
        </w:tc>
        <w:tc>
          <w:tcPr>
            <w:tcW w:type="dxa" w:w="607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Je höher der wahrgenommene Premium-Zusatznutzen, desto höher ist bei Free-Nutzenden die Upgrade-Absicht.</w:t>
            </w:r>
          </w:p>
        </w:tc>
        <w:tc>
          <w:tcPr>
            <w:tcW w:type="dxa" w:w="289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Product / Promotion</w:t>
            </w:r>
          </w:p>
        </w:tc>
      </w:tr>
      <w:tr>
        <w:tc>
          <w:tcPr>
            <w:tcW w:type="dxa" w:w="675"/>
            <w:tcMar>
              <w:top w:type="dxa" w:w="60"/>
              <w:left w:type="dxa" w:w="110"/>
              <w:bottom w:type="dxa" w:w="60"/>
              <w:right w:type="dxa" w:w="110"/>
            </w:tcMar>
            <w:vAlign w:val="top"/>
          </w:tcPr>
          <w:p>
            <w:pPr>
              <w:spacing w:after="40" w:before="40" w:line="264"/>
            </w:pPr>
            <w:r>
              <w:rPr>
                <w:b w:val="false"/>
                <w:bCs w:val="false"/>
                <w:color w:val="1F2937"/>
                <w:sz w:val="17"/>
                <w:szCs w:val="17"/>
              </w:rPr>
              <w:t xml:space="preserve">H3a</w:t>
            </w:r>
          </w:p>
        </w:tc>
        <w:tc>
          <w:tcPr>
            <w:tcW w:type="dxa" w:w="6072"/>
            <w:tcMar>
              <w:top w:type="dxa" w:w="60"/>
              <w:left w:type="dxa" w:w="110"/>
              <w:bottom w:type="dxa" w:w="60"/>
              <w:right w:type="dxa" w:w="110"/>
            </w:tcMar>
            <w:vAlign w:val="top"/>
          </w:tcPr>
          <w:p>
            <w:pPr>
              <w:spacing w:after="40" w:before="40" w:line="264"/>
            </w:pPr>
            <w:r>
              <w:rPr>
                <w:b w:val="false"/>
                <w:bCs w:val="false"/>
                <w:color w:val="1F2937"/>
                <w:sz w:val="17"/>
                <w:szCs w:val="17"/>
              </w:rPr>
              <w:t xml:space="preserve">Höhere Werbeintrusivität hängt bei Free-Nutzenden mit höherer Upgrade-Absicht zusammen.</w:t>
            </w:r>
          </w:p>
        </w:tc>
        <w:tc>
          <w:tcPr>
            <w:tcW w:type="dxa" w:w="2891"/>
            <w:tcMar>
              <w:top w:type="dxa" w:w="60"/>
              <w:left w:type="dxa" w:w="110"/>
              <w:bottom w:type="dxa" w:w="60"/>
              <w:right w:type="dxa" w:w="110"/>
            </w:tcMar>
            <w:vAlign w:val="top"/>
          </w:tcPr>
          <w:p>
            <w:pPr>
              <w:spacing w:after="40" w:before="40" w:line="264"/>
            </w:pPr>
            <w:r>
              <w:rPr>
                <w:b w:val="false"/>
                <w:bCs w:val="false"/>
                <w:color w:val="1F2937"/>
                <w:sz w:val="17"/>
                <w:szCs w:val="17"/>
              </w:rPr>
              <w:t xml:space="preserve">Promotion / Freemium</w:t>
            </w:r>
          </w:p>
        </w:tc>
      </w:tr>
      <w:tr>
        <w:tc>
          <w:tcPr>
            <w:tcW w:type="dxa" w:w="67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H3b</w:t>
            </w:r>
          </w:p>
        </w:tc>
        <w:tc>
          <w:tcPr>
            <w:tcW w:type="dxa" w:w="607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Höhere Werbeintrusivität hängt zugleich mit höherer Wechselabsicht zusammen.</w:t>
            </w:r>
          </w:p>
        </w:tc>
        <w:tc>
          <w:tcPr>
            <w:tcW w:type="dxa" w:w="289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Promotion / Churn-Risiko</w:t>
            </w:r>
          </w:p>
        </w:tc>
      </w:tr>
      <w:tr>
        <w:tc>
          <w:tcPr>
            <w:tcW w:type="dxa" w:w="675"/>
            <w:tcMar>
              <w:top w:type="dxa" w:w="60"/>
              <w:left w:type="dxa" w:w="110"/>
              <w:bottom w:type="dxa" w:w="60"/>
              <w:right w:type="dxa" w:w="110"/>
            </w:tcMar>
            <w:vAlign w:val="top"/>
          </w:tcPr>
          <w:p>
            <w:pPr>
              <w:spacing w:after="40" w:before="40" w:line="264"/>
            </w:pPr>
            <w:r>
              <w:rPr>
                <w:b w:val="false"/>
                <w:bCs w:val="false"/>
                <w:color w:val="1F2937"/>
                <w:sz w:val="17"/>
                <w:szCs w:val="17"/>
              </w:rPr>
              <w:t xml:space="preserve">H4</w:t>
            </w:r>
          </w:p>
        </w:tc>
        <w:tc>
          <w:tcPr>
            <w:tcW w:type="dxa" w:w="6072"/>
            <w:tcMar>
              <w:top w:type="dxa" w:w="60"/>
              <w:left w:type="dxa" w:w="110"/>
              <w:bottom w:type="dxa" w:w="60"/>
              <w:right w:type="dxa" w:w="110"/>
            </w:tcMar>
            <w:vAlign w:val="top"/>
          </w:tcPr>
          <w:p>
            <w:pPr>
              <w:spacing w:after="40" w:before="40" w:line="264"/>
            </w:pPr>
            <w:r>
              <w:rPr>
                <w:b w:val="false"/>
                <w:bCs w:val="false"/>
                <w:color w:val="1F2937"/>
                <w:sz w:val="17"/>
                <w:szCs w:val="17"/>
              </w:rPr>
              <w:t xml:space="preserve">Höhere wahrgenommene Preisfairness hängt bei selbstzahlenden Premium-Nutzenden mit höherer Verlängerungsabsicht zusammen.</w:t>
            </w:r>
          </w:p>
        </w:tc>
        <w:tc>
          <w:tcPr>
            <w:tcW w:type="dxa" w:w="2891"/>
            <w:tcMar>
              <w:top w:type="dxa" w:w="60"/>
              <w:left w:type="dxa" w:w="110"/>
              <w:bottom w:type="dxa" w:w="60"/>
              <w:right w:type="dxa" w:w="110"/>
            </w:tcMar>
            <w:vAlign w:val="top"/>
          </w:tcPr>
          <w:p>
            <w:pPr>
              <w:spacing w:after="40" w:before="40" w:line="264"/>
            </w:pPr>
            <w:r>
              <w:rPr>
                <w:b w:val="false"/>
                <w:bCs w:val="false"/>
                <w:color w:val="1F2937"/>
                <w:sz w:val="17"/>
                <w:szCs w:val="17"/>
              </w:rPr>
              <w:t xml:space="preserve">Price / Bindung</w:t>
            </w:r>
          </w:p>
        </w:tc>
      </w:tr>
    </w:tbl>
    <w:p>
      <w:pPr>
        <w:spacing w:after="140"/>
      </w:pPr>
    </w:p>
    <w:p>
      <w:pPr>
        <w:spacing w:after="140" w:line="288"/>
      </w:pPr>
      <w:r>
        <w:rPr>
          <w:color w:val="1F2937"/>
          <w:sz w:val="21"/>
          <w:szCs w:val="21"/>
        </w:rPr>
        <w:t xml:space="preserve">H3a und H3b sind bewusst gegenläufig formuliert. Wenn beide zutreffen, ist Werbeintrusivität kein eindeutiger Konversionshebel, sondern ein Instrument mit zwei Wirkungsrichtungen — und genau darin liegt die eigenständige Erkenntnis, die der Bericht anbieten kann.</w:t>
      </w:r>
    </w:p>
    <w:p>
      <w:pPr>
        <w:pStyle w:val="Heading2"/>
        <w:spacing w:after="120" w:before="280"/>
      </w:pPr>
      <w:r>
        <w:rPr>
          <w:rFonts w:ascii="Calibri" w:cs="Calibri" w:eastAsia="Calibri" w:hAnsi="Calibri"/>
          <w:b/>
          <w:bCs/>
          <w:color w:val="1B5E43"/>
          <w:sz w:val="24"/>
          <w:szCs w:val="24"/>
        </w:rPr>
        <w:t xml:space="preserve">2.6 Die Brücke: Wettbewerbsvorteil und Messung</w:t>
      </w:r>
    </w:p>
    <w:p>
      <w:pPr>
        <w:spacing w:after="140" w:line="288"/>
      </w:pPr>
      <w:r>
        <w:rPr>
          <w:color w:val="1F2937"/>
          <w:sz w:val="21"/>
          <w:szCs w:val="21"/>
        </w:rPr>
        <w:t xml:space="preserve">Diese Zuordnung ist der eigentliche Ertrag der Zusammenführung. Sie zeigt, dass sich das Urteil über die These aus den Hypothesen ableiten lässt, ohne dass das Forschungsmodell verändert werden müsste.</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506"/>
        <w:gridCol w:w="3855"/>
        <w:gridCol w:w="3277"/>
      </w:tblGrid>
      <w:tr>
        <w:trPr>
          <w:tblHeader/>
        </w:trPr>
        <w:tc>
          <w:tcPr>
            <w:tcW w:type="dxa" w:w="250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Kriterium nach Meffert et al.</w:t>
            </w:r>
          </w:p>
        </w:tc>
        <w:tc>
          <w:tcPr>
            <w:tcW w:type="dxa" w:w="385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Wird gemessen durch</w:t>
            </w:r>
          </w:p>
        </w:tc>
        <w:tc>
          <w:tcPr>
            <w:tcW w:type="dxa" w:w="3277"/>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Falsifikation, wenn</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Betrifft ein wichtiges Kaufkriterium</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H2 (Premium-Zusatznutzen → Upgrade-Absicht) und die Wichtigkeitsabfrage in Anhang A.6</w:t>
            </w:r>
          </w:p>
        </w:tc>
        <w:tc>
          <w:tcPr>
            <w:tcW w:type="dxa" w:w="3277"/>
            <w:tcMar>
              <w:top w:type="dxa" w:w="60"/>
              <w:left w:type="dxa" w:w="110"/>
              <w:bottom w:type="dxa" w:w="60"/>
              <w:right w:type="dxa" w:w="110"/>
            </w:tcMar>
            <w:vAlign w:val="top"/>
          </w:tcPr>
          <w:p>
            <w:pPr>
              <w:spacing w:after="40" w:before="40" w:line="264"/>
            </w:pPr>
            <w:r>
              <w:rPr>
                <w:b w:val="false"/>
                <w:bCs w:val="false"/>
                <w:color w:val="1F2937"/>
                <w:sz w:val="17"/>
                <w:szCs w:val="17"/>
              </w:rPr>
              <w:t xml:space="preserve">Personalisierung landet in der Wichtigkeitsrangfolge hinter Werbefreiheit, Offline-Nutzung und Preis.</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Ist für den Kunden wahrnehmbar</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Bekanntheits- und Nutzungsabfrage zum Hörbuchkontingent und zu personalisierten Formaten</w:t>
            </w:r>
          </w:p>
        </w:tc>
        <w:tc>
          <w:tcPr>
            <w:tcW w:type="dxa" w:w="327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Ein großer Teil der Premium-Nutzenden kennt die Leistungen nicht, für die er zahlt.</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Ist dauerhaft und effizient verteidigbar</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H3b (Werbeintrusivität → Wechselabsicht) und die Wechselbereitschaft bei zwei Euro Preisdifferenz</w:t>
            </w:r>
          </w:p>
        </w:tc>
        <w:tc>
          <w:tcPr>
            <w:tcW w:type="dxa" w:w="3277"/>
            <w:tcMar>
              <w:top w:type="dxa" w:w="60"/>
              <w:left w:type="dxa" w:w="110"/>
              <w:bottom w:type="dxa" w:w="60"/>
              <w:right w:type="dxa" w:w="110"/>
            </w:tcMar>
            <w:vAlign w:val="top"/>
          </w:tcPr>
          <w:p>
            <w:pPr>
              <w:spacing w:after="40" w:before="40" w:line="264"/>
            </w:pPr>
            <w:r>
              <w:rPr>
                <w:b w:val="false"/>
                <w:bCs w:val="false"/>
                <w:color w:val="1F2937"/>
                <w:sz w:val="17"/>
                <w:szCs w:val="17"/>
              </w:rPr>
              <w:t xml:space="preserve">Bereits eine geringe Preisdifferenz löst hohe Wechselbereitschaft aus — dann trägt Gewohnheit, nicht Personalisierung.</w:t>
            </w:r>
          </w:p>
        </w:tc>
      </w:tr>
    </w:tbl>
    <w:p>
      <w:pPr>
        <w:spacing w:after="140"/>
      </w:pPr>
    </w:p>
    <w:p>
      <w:pPr>
        <w:spacing w:after="140" w:line="288"/>
      </w:pPr>
      <w:r>
        <w:rPr>
          <w:color w:val="1F2937"/>
          <w:sz w:val="21"/>
          <w:szCs w:val="21"/>
        </w:rPr>
        <w:t xml:space="preserve">Kapitel 7 des Berichts beantwortet damit nicht nur, welche Zusammenhänge bestehen, sondern ob der Preisaufschlag trägt.</w:t>
      </w:r>
    </w:p>
    <w:p>
      <w:pPr>
        <w:pStyle w:val="Heading2"/>
        <w:spacing w:after="120" w:before="280"/>
      </w:pPr>
      <w:r>
        <w:rPr>
          <w:rFonts w:ascii="Calibri" w:cs="Calibri" w:eastAsia="Calibri" w:hAnsi="Calibri"/>
          <w:b/>
          <w:bCs/>
          <w:color w:val="1B5E43"/>
          <w:sz w:val="24"/>
          <w:szCs w:val="24"/>
        </w:rPr>
        <w:t xml:space="preserve">2.7 Untersuchungsgrenzen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542"/>
        <w:gridCol w:w="8096"/>
      </w:tblGrid>
      <w:tr>
        <w:trPr>
          <w:tblHeader/>
        </w:trP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Dimension</w:t>
            </w:r>
          </w:p>
        </w:tc>
        <w:tc>
          <w:tcPr>
            <w:tcW w:type="dxa" w:w="809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Arbeitsabgrenzung</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Geografie</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Deutschland; globale Spotify-Zahlen nur zur Unternehmenseinordnung.</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Kundenseite</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Private Hörende; Werbekunden kurz als zweite Kundenseite, Rechteinhaber als Angebots- und Wertschöpfungspartner.</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Alter</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18–34 Jahre. Minderjährige werden bei einer Befragung ausgeschlossen. Sekundärdaten werden im Altersschnitt der jeweiligen Quelle berichtet — die ARD/ZDF-Medienstudie etwa in der Kategorie 14–29 — und die Abweichung jeweils benannt.</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Angebot</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Free und Premium; Podcasts, Hörbücher und Video nur, soweit sie den wahrgenommenen Plattformnutzen beeinflussen.</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Zeithorizont</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Marktdaten überwiegend Geschäftsjahr 2025; jüngste Unternehmensdaten Q2 2026 (Stichtag 30.06.2026).</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Aussageniveau</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Explorative Zusammenhänge. Keine kausalen und keine repräsentativen Aussagen.</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Nicht Gegenstand</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Finanzbewertung des Unternehmens, Lizenz- und Urheberrecht im Detail, das B2B-Werbegeschäft als eigenes Geschäftsmodell.</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Methodischer Hinweis.</w:t>
            </w:r>
            <w:r>
              <w:rPr>
                <w:color w:val="1F2937"/>
                <w:sz w:val="19"/>
                <w:szCs w:val="19"/>
              </w:rPr>
              <w:t xml:space="preserve"> Bei einer querschnittlichen Gelegenheitsstichprobe dürfen Formulierungen wie „wirkt", „führt zu" oder „verursacht" nicht aus Korrelationen abgeleitet werden. Berichtet werden Zusammenhänge, Gruppenunterschiede, Effektstärken und Unsicherheit.</w:t>
            </w:r>
          </w:p>
        </w:tc>
      </w:tr>
    </w:tbl>
    <w:p>
      <w:pPr>
        <w:pStyle w:val="Heading1"/>
        <w:pBdr>
          <w:bottom w:val="single" w:color="1B5E43" w:sz="8" w:space="6"/>
        </w:pBdr>
        <w:spacing w:after="180" w:before="400"/>
      </w:pPr>
      <w:r>
        <w:rPr>
          <w:rFonts w:ascii="Calibri" w:cs="Calibri" w:eastAsia="Calibri" w:hAnsi="Calibri"/>
          <w:b/>
          <w:bCs/>
          <w:color w:val="1F2937"/>
          <w:sz w:val="30"/>
          <w:szCs w:val="30"/>
        </w:rPr>
        <w:t xml:space="preserve">3. Gliederung mit Wortbudget und Modellbezug</w:t>
      </w:r>
    </w:p>
    <w:p>
      <w:pPr>
        <w:spacing w:after="140" w:line="288"/>
      </w:pPr>
      <w:r>
        <w:rPr>
          <w:color w:val="1F2937"/>
          <w:sz w:val="21"/>
          <w:szCs w:val="21"/>
        </w:rPr>
        <w:t xml:space="preserve">Die Struktur folgt Arbeitsstand 1. Neu sind die Wortbudgets auf Unterkapitelebene und die dritte Spalte: Sie benennt je Abschnitt das Modell aus der Originalliteratur, das dort angewandt wird. Damit ist vor dem Schreiben überprüfbar, ob der Leitfaden erfüllt ist, der die Anwendung der in der Vorlesung behandelten Methoden ausdrücklich verlangt.</w:t>
      </w:r>
    </w:p>
    <w:p>
      <w:pPr>
        <w:spacing w:after="160" w:line="276"/>
      </w:pPr>
      <w:r>
        <w:rPr>
          <w:i/>
          <w:iCs/>
          <w:color w:val="5B6470"/>
          <w:sz w:val="18"/>
          <w:szCs w:val="18"/>
        </w:rPr>
        <w:t xml:space="preserve">Überschriften sind bewusst inhaltlich formuliert. Der Bewertungsbogen führt „Verständlichkeit, Aussagekraft und Prägnanz der Überschriften" als eigenes Kriterium — „Preispolitik" erfüllt das nicht, „Preisdifferenzierung als Konversionsinstrument" schon. Gliederungslogik prüfen: kein Unterpunkt ohne Geschwister, maximal drei Ebenen.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3855"/>
        <w:gridCol w:w="4530"/>
        <w:gridCol w:w="1253"/>
      </w:tblGrid>
      <w:tr>
        <w:trPr>
          <w:tblHeader/>
        </w:trPr>
        <w:tc>
          <w:tcPr>
            <w:tcW w:type="dxa" w:w="385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Kapitel</w:t>
            </w:r>
          </w:p>
        </w:tc>
        <w:tc>
          <w:tcPr>
            <w:tcW w:type="dxa" w:w="453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Angewandtes Modell / Methode (Originalliteratur)</w:t>
            </w:r>
          </w:p>
        </w:tc>
        <w:tc>
          <w:tcPr>
            <w:tcW w:type="dxa" w:w="125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Wörter</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1  Einleitung</w:t>
            </w:r>
          </w:p>
        </w:tc>
        <w:tc>
          <w:tcPr>
            <w:tcW w:type="dxa" w:w="4530"/>
            <w:tcMar>
              <w:top w:type="dxa" w:w="60"/>
              <w:left w:type="dxa" w:w="110"/>
              <w:bottom w:type="dxa" w:w="60"/>
              <w:right w:type="dxa" w:w="110"/>
            </w:tcMar>
            <w:vAlign w:val="top"/>
          </w:tcPr>
          <w:p>
            <w:pPr>
              <w:spacing w:after="40" w:before="40" w:line="264"/>
            </w:pP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400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1.1 Ein Preisaufschlag ohne Katalogvorteil</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Praxisproblem: Preisrunden 2025/2026 und Anteilsverschiebung als Ausgangsspannung</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1.2 Zielsetzung, Leitfrage, These und Abgrenzung</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Kriterien des Wettbewerbsvorteils (Meffert et al.) als Prüfraster</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1.3 Vorgehen, Datengrundlage und Datenlücken</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Marketing-Management-Prozess (Kotler/Armstrong); Begründung der Methodenwahl</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100</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2  Theoretische Grundlagen und Methodik</w:t>
            </w:r>
          </w:p>
        </w:tc>
        <w:tc>
          <w:tcPr>
            <w:tcW w:type="dxa" w:w="4530"/>
            <w:tcMar>
              <w:top w:type="dxa" w:w="60"/>
              <w:left w:type="dxa" w:w="110"/>
              <w:bottom w:type="dxa" w:w="60"/>
              <w:right w:type="dxa" w:w="110"/>
            </w:tcMar>
            <w:vAlign w:val="top"/>
          </w:tcPr>
          <w:p>
            <w:pPr>
              <w:spacing w:after="40" w:before="40" w:line="264"/>
            </w:pP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650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2.1 Marketingprozess und Kundenorientierung</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Fünfstufiger Marketingprozess (Kotler/Armstrong)</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120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2.2 Mehrseitige Plattformen und Freemium-Logik</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Zweiseitige Märkte (Rochet/Tirole; Armstrong); Freemium-Monetarisierung (Tyrväinen/Karjaluoto)</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130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2.3 Wahrgenommener Wert, Werbeintrusivität, Preisfairness</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Means-End-Modell (Zeithaml); Preisfairness (Xia/Monroe/Cox); Intrusivität (Riedel et al.)</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2.4 Forschungsmodell und Hypothesen</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Expectation-Confirmation (Bhattacherjee); Upgrade versus Bindung (Mäntymäki et al.)</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2.5 Datengrundlage und Befragungsdesign</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Sekundär- vor Primärforschung; Gelegenheitsstichprobe, Güte, Grenzen</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100</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3  Spotify: Kunden und Markt</w:t>
            </w:r>
          </w:p>
        </w:tc>
        <w:tc>
          <w:tcPr>
            <w:tcW w:type="dxa" w:w="4530"/>
            <w:tcMar>
              <w:top w:type="dxa" w:w="60"/>
              <w:left w:type="dxa" w:w="110"/>
              <w:bottom w:type="dxa" w:w="60"/>
              <w:right w:type="dxa" w:w="110"/>
            </w:tcMar>
            <w:vAlign w:val="top"/>
          </w:tcPr>
          <w:p>
            <w:pPr>
              <w:spacing w:after="40" w:before="40" w:line="264"/>
            </w:pP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1.100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3.1 Geschäftsmodell und Rollen auf der Plattform</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Marktseiten und Netzwerkeffekte (Rochet/Tirole; Armstrong)</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3.2 Vom Musik- zum Audio-Unterhaltungsmarkt</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Marktabgrenzung nach Unternehmen, Produkten, Käufern, Bedürfnissen (Meffert et al.); Markttypologie</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3.3 Marktpotenzial, Marktvolumen, Marktausschöpfung</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Marktgrößen nach Meffert et al.; Potenzialformel nach Kotler et al.; Grenzen ausschreiben</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200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3.4 Ein enges Oligopol mit austauschbaren Katalogen</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Wettbewerbsvergleich; Anteilsverschiebung 2024 → Q4 2025; Quellenkritik zu Schätzdaten</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200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3.5 Kundenbedürfnisse und Nutzungssituationen</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Bedürfnisse, Wünsche, Nachfrage (Kotler/Armstrong); Jobs-to-be-done</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3.6 Gewohnheit statt Abwägung: das Kaufverhalten</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Vier Typen des Kaufverhaltens und fünfstufiger Kaufprozess (Kotler/Armstrong); SOR-Modell</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3.7 Segmentierung und Auswahl des Fokussegments</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Vier Variablengruppen und Anforderungen an brauchbare Segmente (Kotler/Armstrong)</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100</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4  Kundenorientierte Marketingstrategie</w:t>
            </w:r>
          </w:p>
        </w:tc>
        <w:tc>
          <w:tcPr>
            <w:tcW w:type="dxa" w:w="4530"/>
            <w:tcMar>
              <w:top w:type="dxa" w:w="60"/>
              <w:left w:type="dxa" w:w="110"/>
              <w:bottom w:type="dxa" w:w="60"/>
              <w:right w:type="dxa" w:w="110"/>
            </w:tcMar>
            <w:vAlign w:val="top"/>
          </w:tcPr>
          <w:p>
            <w:pPr>
              <w:spacing w:after="40" w:before="40" w:line="264"/>
            </w:pP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650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4.1 Marketingziele und Zielhierarchie</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Ziel­systematik (Homburg); Ableitung aus Kapitel 3</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4.2 Segmentierung, Targeting und Positionierung</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Vier Targeting-Strategien (Kotler/Armstrong); differenziertes Marketing mit Micromarketing-Kern</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300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4.3 Positionierung und Nutzenversprechen für Free und Premium</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Positionierungskreuz und Value Proposition (Kotler/Armstrong); Branding Framework</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250</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5  Das Marketingprogramm</w:t>
            </w:r>
          </w:p>
        </w:tc>
        <w:tc>
          <w:tcPr>
            <w:tcW w:type="dxa" w:w="4530"/>
            <w:tcMar>
              <w:top w:type="dxa" w:w="60"/>
              <w:left w:type="dxa" w:w="110"/>
              <w:bottom w:type="dxa" w:w="60"/>
              <w:right w:type="dxa" w:w="110"/>
            </w:tcMar>
            <w:vAlign w:val="top"/>
          </w:tcPr>
          <w:p>
            <w:pPr>
              <w:spacing w:after="40" w:before="40" w:line="264"/>
            </w:pP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1.300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5.1 Personalisierung als Produktkern, Hörbuch und Podcast als Programmerweiterung</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Sechs Ebenen des Produktnutzens (Homburg); Programmbreite und -tiefe; Diversifikationsarten</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350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5.2 Preisdifferenzierung als Konversions- und Ertragsinstrument [Vertiefung]</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Formen der Preisdifferenzierung (Meffert et al.); Preis-Absatz-Funktion und Elastizität; Referenzpreis und Preisschwellen</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450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5.3 Direktvertrieb in Abhängigkeit fremder Plattformen</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Direkter versus indirekter Vertrieb; Kanalbreite; Omni-Channel</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180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5.4 Nutzergenerierte Reichweite und In-App-Konversion</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Push und Pull; zweistufiger Kommunikationsfluss; Hierarchy-of-Effects</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220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5.5 Konsistenz des Marketing-Mix</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Instrumentelle Abstimmung; Zielkonflikt Monetarisierung gegen Abwanderung</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100</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6  Empirische Untersuchung</w:t>
            </w:r>
          </w:p>
        </w:tc>
        <w:tc>
          <w:tcPr>
            <w:tcW w:type="dxa" w:w="4530"/>
            <w:tcMar>
              <w:top w:type="dxa" w:w="60"/>
              <w:left w:type="dxa" w:w="110"/>
              <w:bottom w:type="dxa" w:w="60"/>
              <w:right w:type="dxa" w:w="110"/>
            </w:tcMar>
            <w:vAlign w:val="top"/>
          </w:tcPr>
          <w:p>
            <w:pPr>
              <w:spacing w:after="40" w:before="40" w:line="264"/>
            </w:pP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700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6.1 Stichprobe, Rücklauf und Datenqualität</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Ausschlussregeln, Skalenkonsistenz, Selbstselektion</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6.2 Deskriptive Befunde</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Tarif- und Zahlungsrollen, Nutzungsintensität, Wichtigkeitsrangfolge</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250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6.3 Gruppenvergleich und hypothesenbezogene Zusammenhänge</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Effektstärken und Konfidenzintervalle; H2/H3 nur in der Free-Gruppe, H4 nur bei Zahlungsrolle</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300</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7  Diskussion und Handlungsempfehlungen</w:t>
            </w:r>
          </w:p>
        </w:tc>
        <w:tc>
          <w:tcPr>
            <w:tcW w:type="dxa" w:w="4530"/>
            <w:tcMar>
              <w:top w:type="dxa" w:w="60"/>
              <w:left w:type="dxa" w:w="110"/>
              <w:bottom w:type="dxa" w:w="60"/>
              <w:right w:type="dxa" w:w="110"/>
            </w:tcMar>
            <w:vAlign w:val="top"/>
          </w:tcPr>
          <w:p>
            <w:pPr>
              <w:spacing w:after="40" w:before="40" w:line="264"/>
            </w:pP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500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7.1 Beantwortung der Forschungsfrage</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Synthese aus Sekundärdaten und Empirie</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7.2 Trägt der Preisaufschlag? Prüfung der These</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Drei Kriterien nach Meffert et al.; Gegenargumente ernsthaft diskutieren</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150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7.3 Drei Handlungsempfehlungen entlang der Instrumente</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Aus der Analyse abgeleitet, keine Allgemeinplätze</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120</w:t>
            </w:r>
          </w:p>
        </w:tc>
      </w:tr>
      <w:tr>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7.4 Limitationen</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Selbstselektion, Absicht statt Verhalten, Common-Method-Bias, fehlende Kausalität</w:t>
            </w:r>
          </w:p>
        </w:tc>
        <w:tc>
          <w:tcPr>
            <w:tcW w:type="dxa" w:w="1253"/>
            <w:tcMar>
              <w:top w:type="dxa" w:w="60"/>
              <w:left w:type="dxa" w:w="110"/>
              <w:bottom w:type="dxa" w:w="60"/>
              <w:right w:type="dxa" w:w="110"/>
            </w:tcMar>
            <w:vAlign w:val="top"/>
          </w:tcPr>
          <w:p>
            <w:pPr>
              <w:spacing w:after="40" w:before="40" w:line="264"/>
            </w:pPr>
            <w:r>
              <w:rPr>
                <w:b w:val="false"/>
                <w:bCs w:val="false"/>
                <w:color w:val="1F2937"/>
                <w:sz w:val="17"/>
                <w:szCs w:val="17"/>
              </w:rPr>
              <w:t xml:space="preserve">80</w:t>
            </w:r>
          </w:p>
        </w:tc>
      </w:tr>
      <w:tr>
        <w:tc>
          <w:tcPr>
            <w:tcW w:type="dxa" w:w="3855"/>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8  Fazit und Ausblick</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Antwort auf die Leitfrage; weiterer Forschungsbedarf</w:t>
            </w:r>
          </w:p>
        </w:tc>
        <w:tc>
          <w:tcPr>
            <w:tcW w:type="dxa" w:w="1253"/>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300</w:t>
            </w:r>
          </w:p>
        </w:tc>
      </w:tr>
      <w:tr>
        <w:tc>
          <w:tcPr>
            <w:tcW w:type="dxa" w:w="3855"/>
            <w:tcMar>
              <w:top w:type="dxa" w:w="60"/>
              <w:left w:type="dxa" w:w="110"/>
              <w:bottom w:type="dxa" w:w="60"/>
              <w:right w:type="dxa" w:w="110"/>
            </w:tcMar>
            <w:vAlign w:val="top"/>
          </w:tcPr>
          <w:p>
            <w:pPr>
              <w:spacing w:after="40" w:before="40" w:line="264"/>
            </w:pPr>
            <w:r>
              <w:rPr>
                <w:b/>
                <w:bCs/>
                <w:color w:val="1F2937"/>
                <w:sz w:val="17"/>
                <w:szCs w:val="17"/>
              </w:rPr>
              <w:t xml:space="preserve">Summe Hauptteil</w:t>
            </w:r>
          </w:p>
        </w:tc>
        <w:tc>
          <w:tcPr>
            <w:tcW w:type="dxa" w:w="4530"/>
            <w:tcMar>
              <w:top w:type="dxa" w:w="60"/>
              <w:left w:type="dxa" w:w="110"/>
              <w:bottom w:type="dxa" w:w="60"/>
              <w:right w:type="dxa" w:w="110"/>
            </w:tcMar>
            <w:vAlign w:val="top"/>
          </w:tcPr>
          <w:p>
            <w:pPr>
              <w:spacing w:after="40" w:before="40" w:line="264"/>
            </w:pPr>
            <w:r>
              <w:rPr>
                <w:b w:val="false"/>
                <w:bCs w:val="false"/>
                <w:color w:val="1F2937"/>
                <w:sz w:val="17"/>
                <w:szCs w:val="17"/>
              </w:rPr>
              <w:t xml:space="preserve">ohne Titelblatt, Verzeichnisse, Anhang und individuelle Stellungnahmen</w:t>
            </w:r>
          </w:p>
        </w:tc>
        <w:tc>
          <w:tcPr>
            <w:tcW w:type="dxa" w:w="1253"/>
            <w:tcMar>
              <w:top w:type="dxa" w:w="60"/>
              <w:left w:type="dxa" w:w="110"/>
              <w:bottom w:type="dxa" w:w="60"/>
              <w:right w:type="dxa" w:w="110"/>
            </w:tcMar>
            <w:vAlign w:val="top"/>
          </w:tcPr>
          <w:p>
            <w:pPr>
              <w:spacing w:after="40" w:before="40" w:line="264"/>
            </w:pPr>
            <w:r>
              <w:rPr>
                <w:b/>
                <w:bCs/>
                <w:color w:val="1F2937"/>
                <w:sz w:val="17"/>
                <w:szCs w:val="17"/>
              </w:rPr>
              <w:t xml:space="preserve">5.600</w:t>
            </w:r>
          </w:p>
        </w:tc>
      </w:tr>
      <w:tr>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Individuelle Stellungnahme (je Person, separat)</w:t>
            </w:r>
          </w:p>
        </w:tc>
        <w:tc>
          <w:tcPr>
            <w:tcW w:type="dxa" w:w="453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Thesen, Implikationen, Grenzen, Ausblick</w:t>
            </w:r>
          </w:p>
        </w:tc>
        <w:tc>
          <w:tcPr>
            <w:tcW w:type="dxa" w:w="125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max. 300</w:t>
            </w:r>
          </w:p>
        </w:tc>
      </w:tr>
    </w:tbl>
    <w:p>
      <w:pPr>
        <w:spacing w:after="160"/>
      </w:pPr>
    </w:p>
    <w:p>
      <w:pPr>
        <w:pStyle w:val="Heading2"/>
        <w:spacing w:after="120" w:before="280"/>
      </w:pPr>
      <w:r>
        <w:rPr>
          <w:rFonts w:ascii="Calibri" w:cs="Calibri" w:eastAsia="Calibri" w:hAnsi="Calibri"/>
          <w:b/>
          <w:bCs/>
          <w:color w:val="1B5E43"/>
          <w:sz w:val="24"/>
          <w:szCs w:val="24"/>
        </w:rPr>
        <w:t xml:space="preserve">3.1 Umschichtungsplan, falls die Befragung entfällt</w:t>
      </w:r>
    </w:p>
    <w:p>
      <w:pPr>
        <w:spacing w:after="140" w:line="288"/>
      </w:pPr>
      <w:r>
        <w:rPr>
          <w:color w:val="1F2937"/>
          <w:sz w:val="21"/>
          <w:szCs w:val="21"/>
        </w:rPr>
        <w:t xml:space="preserve">Der Vergleich hat zu Recht auf ein Umfangsrisiko hingewiesen: fünf Hypothesen, eigene Erhebung, vollständiger Mix und kritische Würdigung sind bei 6.000 Wörtern ambitioniert. Deshalb zwei festgelegte Varianten statt einer Hoffnung.</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735"/>
        <w:gridCol w:w="1157"/>
        <w:gridCol w:w="3662"/>
        <w:gridCol w:w="3084"/>
      </w:tblGrid>
      <w:tr>
        <w:trPr>
          <w:tblHeader/>
        </w:trPr>
        <w:tc>
          <w:tcPr>
            <w:tcW w:type="dxa" w:w="173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Variante</w:t>
            </w:r>
          </w:p>
        </w:tc>
        <w:tc>
          <w:tcPr>
            <w:tcW w:type="dxa" w:w="1157"/>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Kapitel 6</w:t>
            </w:r>
          </w:p>
        </w:tc>
        <w:tc>
          <w:tcPr>
            <w:tcW w:type="dxa" w:w="366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Umschichtung</w:t>
            </w:r>
          </w:p>
        </w:tc>
        <w:tc>
          <w:tcPr>
            <w:tcW w:type="dxa" w:w="3084"/>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Konsequenz für die These</w:t>
            </w:r>
          </w:p>
        </w:tc>
      </w:tr>
      <w:tr>
        <w:tc>
          <w:tcPr>
            <w:tcW w:type="dxa" w:w="1735"/>
            <w:tcMar>
              <w:top w:type="dxa" w:w="60"/>
              <w:left w:type="dxa" w:w="110"/>
              <w:bottom w:type="dxa" w:w="60"/>
              <w:right w:type="dxa" w:w="110"/>
            </w:tcMar>
            <w:vAlign w:val="top"/>
          </w:tcPr>
          <w:p>
            <w:pPr>
              <w:spacing w:after="40" w:before="40" w:line="264"/>
            </w:pPr>
            <w:r>
              <w:rPr>
                <w:b/>
                <w:bCs/>
                <w:color w:val="1F2937"/>
                <w:sz w:val="17"/>
                <w:szCs w:val="17"/>
              </w:rPr>
              <w:t xml:space="preserve">Mit eigener Erhebung</w:t>
            </w:r>
          </w:p>
        </w:tc>
        <w:tc>
          <w:tcPr>
            <w:tcW w:type="dxa" w:w="1157"/>
            <w:tcMar>
              <w:top w:type="dxa" w:w="60"/>
              <w:left w:type="dxa" w:w="110"/>
              <w:bottom w:type="dxa" w:w="60"/>
              <w:right w:type="dxa" w:w="110"/>
            </w:tcMar>
            <w:vAlign w:val="top"/>
          </w:tcPr>
          <w:p>
            <w:pPr>
              <w:spacing w:after="40" w:before="40" w:line="264"/>
            </w:pPr>
            <w:r>
              <w:rPr>
                <w:b w:val="false"/>
                <w:bCs w:val="false"/>
                <w:color w:val="1F2937"/>
                <w:sz w:val="17"/>
                <w:szCs w:val="17"/>
              </w:rPr>
              <w:t xml:space="preserve">700 Wörter</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Falls die Empirie mehr Raum braucht: Kapitel 2 auf 550 und Kapitel 5 auf 1.200 kürzen — nicht die Empirie.</w:t>
            </w:r>
          </w:p>
        </w:tc>
        <w:tc>
          <w:tcPr>
            <w:tcW w:type="dxa" w:w="3084"/>
            <w:tcMar>
              <w:top w:type="dxa" w:w="60"/>
              <w:left w:type="dxa" w:w="110"/>
              <w:bottom w:type="dxa" w:w="60"/>
              <w:right w:type="dxa" w:w="110"/>
            </w:tcMar>
            <w:vAlign w:val="top"/>
          </w:tcPr>
          <w:p>
            <w:pPr>
              <w:spacing w:after="40" w:before="40" w:line="264"/>
            </w:pPr>
            <w:r>
              <w:rPr>
                <w:b w:val="false"/>
                <w:bCs w:val="false"/>
                <w:color w:val="1F2937"/>
                <w:sz w:val="17"/>
                <w:szCs w:val="17"/>
              </w:rPr>
              <w:t xml:space="preserve">Alle drei Kriterien werden empirisch geprüft.</w:t>
            </w:r>
          </w:p>
        </w:tc>
      </w:tr>
      <w:tr>
        <w:tc>
          <w:tcPr>
            <w:tcW w:type="dxa" w:w="1735"/>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Ohne eigene Erhebung</w:t>
            </w:r>
          </w:p>
        </w:tc>
        <w:tc>
          <w:tcPr>
            <w:tcW w:type="dxa" w:w="115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entfällt</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Die 700 Wörter gehen zu je 250 an Kapitel 3 und 5 und zu 200 an Kapitel 7.</w:t>
            </w:r>
          </w:p>
        </w:tc>
        <w:tc>
          <w:tcPr>
            <w:tcW w:type="dxa" w:w="3084"/>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Die Kriterien werden aus Sekundärdaten und Literatur beurteilt; das Urteil bleibt möglich, wird aber vorsichtiger formuliert und in den Limitationen ausgewiesen.</w:t>
            </w:r>
          </w:p>
        </w:tc>
      </w:tr>
    </w:tbl>
    <w:p>
      <w:pPr>
        <w:pStyle w:val="Heading1"/>
        <w:pBdr>
          <w:bottom w:val="single" w:color="1B5E43" w:sz="8" w:space="6"/>
        </w:pBdr>
        <w:spacing w:after="180" w:before="400"/>
      </w:pPr>
      <w:r>
        <w:rPr>
          <w:rFonts w:ascii="Calibri" w:cs="Calibri" w:eastAsia="Calibri" w:hAnsi="Calibri"/>
          <w:b/>
          <w:bCs/>
          <w:color w:val="1F2937"/>
          <w:sz w:val="30"/>
          <w:szCs w:val="30"/>
        </w:rPr>
        <w:t xml:space="preserve">4. Erster Prozessschritt: Kunden und Märkte</w:t>
      </w:r>
    </w:p>
    <w:p>
      <w:pPr>
        <w:spacing w:after="140" w:line="288"/>
      </w:pPr>
      <w:r>
        <w:rPr>
          <w:color w:val="1F2937"/>
          <w:sz w:val="21"/>
          <w:szCs w:val="21"/>
        </w:rPr>
        <w:t xml:space="preserve">Der erste Schritt des Marketing-Management-Prozesses verlangt ein Verständnis von Markt, Bedürfnissen und Kundenverhalten, bevor Zielgruppen und Positionierung festgelegt werden (Kotler und Armstrong 2020, 6–11, 184–201). Aus der Marktabgrenzung folgt, wer die Wettbewerber sind; aus der Segmentierung folgt die Strategie; aus dem Kaufverhalten folgt, welche Instrumente überhaupt wirken. Dieser Abschnitt ist so weit ausgearbeitet, dass Kapitel 3 des Berichts daraus geschrieben werden kann.</w:t>
      </w:r>
    </w:p>
    <w:p>
      <w:pPr>
        <w:pStyle w:val="Heading2"/>
        <w:spacing w:after="120" w:before="280"/>
      </w:pPr>
      <w:r>
        <w:rPr>
          <w:rFonts w:ascii="Calibri" w:cs="Calibri" w:eastAsia="Calibri" w:hAnsi="Calibri"/>
          <w:b/>
          <w:bCs/>
          <w:color w:val="1B5E43"/>
          <w:sz w:val="24"/>
          <w:szCs w:val="24"/>
        </w:rPr>
        <w:t xml:space="preserve">4.1 Marktabgrenzung — vier Optionen und eine Entscheidung</w:t>
      </w:r>
    </w:p>
    <w:p>
      <w:pPr>
        <w:spacing w:after="140" w:line="288"/>
      </w:pPr>
      <w:r>
        <w:rPr>
          <w:color w:val="1F2937"/>
          <w:sz w:val="21"/>
          <w:szCs w:val="21"/>
        </w:rPr>
        <w:t xml:space="preserve">Meffert et al. unterscheiden vier Kriterien der Marktabgrenzung. Auf Spotify angewandt:</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349"/>
        <w:gridCol w:w="3662"/>
        <w:gridCol w:w="4627"/>
      </w:tblGrid>
      <w:tr>
        <w:trPr>
          <w:tblHeader/>
        </w:trPr>
        <w:tc>
          <w:tcPr>
            <w:tcW w:type="dxa" w:w="134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Abgrenzung nach</w:t>
            </w:r>
          </w:p>
        </w:tc>
        <w:tc>
          <w:tcPr>
            <w:tcW w:type="dxa" w:w="366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Ergebnis</w:t>
            </w:r>
          </w:p>
        </w:tc>
        <w:tc>
          <w:tcPr>
            <w:tcW w:type="dxa" w:w="4627"/>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Bewertung</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Unternehmen</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„Markt der Musikstreaming-Anbieter": Spotify, Apple Music, Amazon Music, YouTube Music, Deezer, Tidal</w:t>
            </w:r>
          </w:p>
        </w:tc>
        <w:tc>
          <w:tcPr>
            <w:tcW w:type="dxa" w:w="4627"/>
            <w:tcMar>
              <w:top w:type="dxa" w:w="60"/>
              <w:left w:type="dxa" w:w="110"/>
              <w:bottom w:type="dxa" w:w="60"/>
              <w:right w:type="dxa" w:w="110"/>
            </w:tcMar>
            <w:vAlign w:val="top"/>
          </w:tcPr>
          <w:p>
            <w:pPr>
              <w:spacing w:after="40" w:before="40" w:line="264"/>
            </w:pPr>
            <w:r>
              <w:rPr>
                <w:b w:val="false"/>
                <w:bCs w:val="false"/>
                <w:color w:val="1F2937"/>
                <w:sz w:val="17"/>
                <w:szCs w:val="17"/>
              </w:rPr>
              <w:t xml:space="preserve">Zu eng. Blendet aus, dass Spotify um Hörzeit gegen Podcast-Plattformen, Hörbuchdienste und lineares Radio konkurriert.</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Produkten</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„Markt für Audio-Streaming-Abonnements"</w:t>
            </w:r>
          </w:p>
        </w:tc>
        <w:tc>
          <w:tcPr>
            <w:tcW w:type="dxa" w:w="462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Sauber abgrenzbar und mit Zahlen zu unterlegen, erklärt aber die Diversifikation in Hörbücher und Video nicht.</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Käufern</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„Markt der digital affinen Privatnutzenden mit mobilem Endgerät"</w:t>
            </w:r>
          </w:p>
        </w:tc>
        <w:tc>
          <w:tcPr>
            <w:tcW w:type="dxa" w:w="4627"/>
            <w:tcMar>
              <w:top w:type="dxa" w:w="60"/>
              <w:left w:type="dxa" w:w="110"/>
              <w:bottom w:type="dxa" w:w="60"/>
              <w:right w:type="dxa" w:w="110"/>
            </w:tcMar>
            <w:vAlign w:val="top"/>
          </w:tcPr>
          <w:p>
            <w:pPr>
              <w:spacing w:after="40" w:before="40" w:line="264"/>
            </w:pPr>
            <w:r>
              <w:rPr>
                <w:b w:val="false"/>
                <w:bCs w:val="false"/>
                <w:color w:val="1F2937"/>
                <w:sz w:val="17"/>
                <w:szCs w:val="17"/>
              </w:rPr>
              <w:t xml:space="preserve">Zu unspezifisch — nahezu die gesamte Bevölkerung unter 60 Jahren.</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Bedürfnissen</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„Markt für jederzeit verfügbare, personalisierte Audiobegleitung im Alltag"</w:t>
            </w:r>
          </w:p>
        </w:tc>
        <w:tc>
          <w:tcPr>
            <w:tcW w:type="dxa" w:w="4627"/>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Empfehlung.</w:t>
            </w:r>
            <w:r>
              <w:rPr>
                <w:b w:val="false"/>
                <w:bCs w:val="false"/>
                <w:color w:val="1F2937"/>
                <w:sz w:val="17"/>
                <w:szCs w:val="17"/>
              </w:rPr>
              <w:t xml:space="preserve"> Erklärt, warum Spotify Hörbücher und Video-Podcasts aufnimmt, warum YouTube der reichweitenstärkste Wettbewerber ist und warum der Wettbewerb um Zeit und nicht nur um Geld geführt wird.</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Vorgehen im Bericht: beide Abgrenzungen nutzen und die Trennung begründen.</w:t>
            </w:r>
            <w:r>
              <w:rPr>
                <w:color w:val="1F2937"/>
                <w:sz w:val="19"/>
                <w:szCs w:val="19"/>
              </w:rPr>
              <w:t xml:space="preserve"> Die bedürfnisorientierte Abgrenzung trägt die strategische Argumentation, die produktbezogene die quantitative Marktbeschreibung — weil nur für sie Zahlen existieren. Diese Trennung offen auszuweisen ist selbst ein methodischer Beitrag und kein Eingeständnis von Unschärfe.</w:t>
            </w:r>
          </w:p>
          <w:p>
            <w:pPr>
              <w:spacing w:after="60" w:before="60" w:line="276"/>
            </w:pPr>
            <w:r>
              <w:rPr>
                <w:b/>
                <w:bCs/>
                <w:color w:val="1F2937"/>
                <w:sz w:val="19"/>
                <w:szCs w:val="19"/>
              </w:rPr>
              <w:t xml:space="preserve">Arbeitsdefinition des Kernmarktes:</w:t>
            </w:r>
            <w:r>
              <w:rPr>
                <w:color w:val="1F2937"/>
                <w:sz w:val="19"/>
                <w:szCs w:val="19"/>
              </w:rPr>
              <w:t xml:space="preserve"> der deutsche Markt für werbefinanziertes und kostenpflichtiges On-Demand-Musikstreaming für private Nutzende. Erweiterte Audio- und Aufmerksamkeitsangebote werden als Substitute berücksichtigt. Das ist eine Marketingabgrenzung, keine kartellrechtliche Marktdefinition.</w:t>
            </w:r>
          </w:p>
        </w:tc>
      </w:tr>
    </w:tbl>
    <w:p>
      <w:pPr>
        <w:pStyle w:val="Heading2"/>
        <w:spacing w:after="120" w:before="280"/>
      </w:pPr>
      <w:r>
        <w:rPr>
          <w:rFonts w:ascii="Calibri" w:cs="Calibri" w:eastAsia="Calibri" w:hAnsi="Calibri"/>
          <w:b/>
          <w:bCs/>
          <w:color w:val="1B5E43"/>
          <w:sz w:val="24"/>
          <w:szCs w:val="24"/>
        </w:rPr>
        <w:t xml:space="preserve">4.2 Markttypologie</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120"/>
        <w:gridCol w:w="7518"/>
      </w:tblGrid>
      <w:tr>
        <w:trPr>
          <w:tblHeader/>
        </w:trPr>
        <w:tc>
          <w:tcPr>
            <w:tcW w:type="dxa" w:w="212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Kriterium</w:t>
            </w:r>
          </w:p>
        </w:tc>
        <w:tc>
          <w:tcPr>
            <w:tcW w:type="dxa" w:w="751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Einordnung</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Zahl und Größe der Teilnehmer</w:t>
            </w:r>
          </w:p>
        </w:tc>
        <w:tc>
          <w:tcPr>
            <w:tcW w:type="dxa" w:w="7518"/>
            <w:tcMar>
              <w:top w:type="dxa" w:w="60"/>
              <w:left w:type="dxa" w:w="110"/>
              <w:bottom w:type="dxa" w:w="60"/>
              <w:right w:type="dxa" w:w="110"/>
            </w:tcMar>
            <w:vAlign w:val="top"/>
          </w:tcPr>
          <w:p>
            <w:pPr>
              <w:spacing w:after="40" w:before="40" w:line="264"/>
            </w:pPr>
            <w:r>
              <w:rPr>
                <w:b/>
                <w:bCs/>
                <w:color w:val="1F2937"/>
                <w:sz w:val="17"/>
                <w:szCs w:val="17"/>
              </w:rPr>
              <w:t xml:space="preserve">Enges Oligopol.</w:t>
            </w:r>
            <w:r>
              <w:rPr>
                <w:b w:val="false"/>
                <w:bCs w:val="false"/>
                <w:color w:val="1F2937"/>
                <w:sz w:val="17"/>
                <w:szCs w:val="17"/>
              </w:rPr>
              <w:t xml:space="preserve"> Die fünf größten Anbieter vereinen rund 78,7 Prozent der weltweit bezahlten Abonnements auf sich (MIDiA, Q4 2025).</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Art der Leistung</w:t>
            </w:r>
          </w:p>
        </w:tc>
        <w:tc>
          <w:tcPr>
            <w:tcW w:type="dxa" w:w="7518"/>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Dienstleistung</w:t>
            </w:r>
            <w:r>
              <w:rPr>
                <w:b w:val="false"/>
                <w:bCs w:val="false"/>
                <w:color w:val="1F2937"/>
                <w:sz w:val="17"/>
                <w:szCs w:val="17"/>
              </w:rPr>
              <w:t xml:space="preserve"> an private Endkunden: nicht-physisch, Erbringung und Nutzung fallen zusammen. Zugleich </w:t>
            </w:r>
            <w:r>
              <w:rPr>
                <w:b/>
                <w:bCs/>
                <w:color w:val="1F2937"/>
                <w:sz w:val="17"/>
                <w:szCs w:val="17"/>
              </w:rPr>
              <w:t xml:space="preserve">mehrseitiger Markt</w:t>
            </w:r>
            <w:r>
              <w:rPr>
                <w:b w:val="false"/>
                <w:bCs w:val="false"/>
                <w:color w:val="1F2937"/>
                <w:sz w:val="17"/>
                <w:szCs w:val="17"/>
              </w:rPr>
              <w:t xml:space="preserve"> — Hörende, Werbetreibende und Rechteinhaber müssen simultan bedient werden.</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Grad der Internationalität</w:t>
            </w:r>
          </w:p>
        </w:tc>
        <w:tc>
          <w:tcPr>
            <w:tcW w:type="dxa" w:w="7518"/>
            <w:tcMar>
              <w:top w:type="dxa" w:w="60"/>
              <w:left w:type="dxa" w:w="110"/>
              <w:bottom w:type="dxa" w:w="60"/>
              <w:right w:type="dxa" w:w="110"/>
            </w:tcMar>
            <w:vAlign w:val="top"/>
          </w:tcPr>
          <w:p>
            <w:pPr>
              <w:spacing w:after="40" w:before="40" w:line="264"/>
            </w:pPr>
            <w:r>
              <w:rPr>
                <w:b/>
                <w:bCs/>
                <w:color w:val="1F2937"/>
                <w:sz w:val="17"/>
                <w:szCs w:val="17"/>
              </w:rPr>
              <w:t xml:space="preserve">Globaler Markt</w:t>
            </w:r>
            <w:r>
              <w:rPr>
                <w:b w:val="false"/>
                <w:bCs w:val="false"/>
                <w:color w:val="1F2937"/>
                <w:sz w:val="17"/>
                <w:szCs w:val="17"/>
              </w:rPr>
              <w:t xml:space="preserve"> (184 Märkte) mit national differenzierten Preisen und teils eigenen Tarifstufen; Lite-, Standard- und Platinum-Stufen existieren nur in wenigen Märkten.</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Art der Transaktion</w:t>
            </w:r>
          </w:p>
        </w:tc>
        <w:tc>
          <w:tcPr>
            <w:tcW w:type="dxa" w:w="7518"/>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Rein elektronischer Markt.</w:t>
            </w:r>
            <w:r>
              <w:rPr>
                <w:b w:val="false"/>
                <w:bCs w:val="false"/>
                <w:color w:val="1F2937"/>
                <w:sz w:val="17"/>
                <w:szCs w:val="17"/>
              </w:rPr>
              <w:t xml:space="preserve"> Kein stationärer Absatzkanal; Vertrieb ausschließlich über App-Stores und Web.</w:t>
            </w:r>
          </w:p>
        </w:tc>
      </w:tr>
    </w:tbl>
    <w:p>
      <w:pPr>
        <w:pStyle w:val="Heading2"/>
        <w:spacing w:after="120" w:before="280"/>
      </w:pPr>
      <w:r>
        <w:rPr>
          <w:rFonts w:ascii="Calibri" w:cs="Calibri" w:eastAsia="Calibri" w:hAnsi="Calibri"/>
          <w:b/>
          <w:bCs/>
          <w:color w:val="1B5E43"/>
          <w:sz w:val="24"/>
          <w:szCs w:val="24"/>
        </w:rPr>
        <w:t xml:space="preserve">4.3 Kundenrollen im Plattformmodell</w:t>
      </w:r>
    </w:p>
    <w:p>
      <w:pPr>
        <w:spacing w:after="140" w:line="288"/>
      </w:pPr>
      <w:r>
        <w:rPr>
          <w:color w:val="1F2937"/>
          <w:sz w:val="21"/>
          <w:szCs w:val="21"/>
        </w:rPr>
        <w:t xml:space="preserve">Spotify verbindet mehrere Marktseiten. Gruppenübergreifende Netzwerkeffekte bedeuten, dass eine große Hörerschaft Werbetreibende und Rechteinhaber attraktiver macht, während ein breiter Katalog, Promotion und bessere Empfehlungen den Hörerwert erhöhen (Armstrong 2006, 668–691; Rochet und Tirole 2003, 990–1029).</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120"/>
        <w:gridCol w:w="2506"/>
        <w:gridCol w:w="2891"/>
        <w:gridCol w:w="2121"/>
      </w:tblGrid>
      <w:tr>
        <w:trPr>
          <w:tblHeader/>
        </w:trPr>
        <w:tc>
          <w:tcPr>
            <w:tcW w:type="dxa" w:w="212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Marktseite</w:t>
            </w:r>
          </w:p>
        </w:tc>
        <w:tc>
          <w:tcPr>
            <w:tcW w:type="dxa" w:w="250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Job-to-be-done</w:t>
            </w:r>
          </w:p>
        </w:tc>
        <w:tc>
          <w:tcPr>
            <w:tcW w:type="dxa" w:w="289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Austausch mit Spotify</w:t>
            </w:r>
          </w:p>
        </w:tc>
        <w:tc>
          <w:tcPr>
            <w:tcW w:type="dxa" w:w="212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Rolle im Bericht</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Hörende und Haushalte</w:t>
            </w:r>
          </w:p>
        </w:tc>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Passende Audioinhalte bequem finden und nutzen</w:t>
            </w:r>
          </w:p>
        </w:tc>
        <w:tc>
          <w:tcPr>
            <w:tcW w:type="dxa" w:w="2891"/>
            <w:tcMar>
              <w:top w:type="dxa" w:w="60"/>
              <w:left w:type="dxa" w:w="110"/>
              <w:bottom w:type="dxa" w:w="60"/>
              <w:right w:type="dxa" w:w="110"/>
            </w:tcMar>
            <w:vAlign w:val="top"/>
          </w:tcPr>
          <w:p>
            <w:pPr>
              <w:spacing w:after="40" w:before="40" w:line="264"/>
            </w:pPr>
            <w:r>
              <w:rPr>
                <w:b w:val="false"/>
                <w:bCs w:val="false"/>
                <w:color w:val="1F2937"/>
                <w:sz w:val="17"/>
                <w:szCs w:val="17"/>
              </w:rPr>
              <w:t xml:space="preserve">Gebühr oder Werbekontakte; Aufmerksamkeit und Daten</w:t>
            </w:r>
          </w:p>
        </w:tc>
        <w:tc>
          <w:tcPr>
            <w:tcW w:type="dxa" w:w="2121"/>
            <w:tcMar>
              <w:top w:type="dxa" w:w="60"/>
              <w:left w:type="dxa" w:w="110"/>
              <w:bottom w:type="dxa" w:w="60"/>
              <w:right w:type="dxa" w:w="110"/>
            </w:tcMar>
            <w:vAlign w:val="top"/>
          </w:tcPr>
          <w:p>
            <w:pPr>
              <w:spacing w:after="40" w:before="40" w:line="264"/>
            </w:pPr>
            <w:r>
              <w:rPr>
                <w:b/>
                <w:bCs/>
                <w:color w:val="1F2937"/>
                <w:sz w:val="17"/>
                <w:szCs w:val="17"/>
              </w:rPr>
              <w:t xml:space="preserve">Primärer Fokus</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Werbetreibende und Agenturen</w:t>
            </w:r>
          </w:p>
        </w:tc>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Zielgruppen kontextbezogen und messbar erreichen</w:t>
            </w:r>
          </w:p>
        </w:tc>
        <w:tc>
          <w:tcPr>
            <w:tcW w:type="dxa" w:w="289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Werbeausgaben gegen Reichweite und Targeting</w:t>
            </w:r>
          </w:p>
        </w:tc>
        <w:tc>
          <w:tcPr>
            <w:tcW w:type="dxa" w:w="212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Kurz als zweite Kundenseite</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Künstler, Labels, Verlage</w:t>
            </w:r>
          </w:p>
        </w:tc>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Publikum erreichen und Inhalte monetarisieren</w:t>
            </w:r>
          </w:p>
        </w:tc>
        <w:tc>
          <w:tcPr>
            <w:tcW w:type="dxa" w:w="2891"/>
            <w:tcMar>
              <w:top w:type="dxa" w:w="60"/>
              <w:left w:type="dxa" w:w="110"/>
              <w:bottom w:type="dxa" w:w="60"/>
              <w:right w:type="dxa" w:w="110"/>
            </w:tcMar>
            <w:vAlign w:val="top"/>
          </w:tcPr>
          <w:p>
            <w:pPr>
              <w:spacing w:after="40" w:before="40" w:line="264"/>
            </w:pPr>
            <w:r>
              <w:rPr>
                <w:b w:val="false"/>
                <w:bCs w:val="false"/>
                <w:color w:val="1F2937"/>
                <w:sz w:val="17"/>
                <w:szCs w:val="17"/>
              </w:rPr>
              <w:t xml:space="preserve">Rechte und Inhalte gegen Vergütung, Reichweite, Tools</w:t>
            </w:r>
          </w:p>
        </w:tc>
        <w:tc>
          <w:tcPr>
            <w:tcW w:type="dxa" w:w="2121"/>
            <w:tcMar>
              <w:top w:type="dxa" w:w="60"/>
              <w:left w:type="dxa" w:w="110"/>
              <w:bottom w:type="dxa" w:w="60"/>
              <w:right w:type="dxa" w:w="110"/>
            </w:tcMar>
            <w:vAlign w:val="top"/>
          </w:tcPr>
          <w:p>
            <w:pPr>
              <w:spacing w:after="40" w:before="40" w:line="264"/>
            </w:pPr>
            <w:r>
              <w:rPr>
                <w:b w:val="false"/>
                <w:bCs w:val="false"/>
                <w:color w:val="1F2937"/>
                <w:sz w:val="17"/>
                <w:szCs w:val="17"/>
              </w:rPr>
              <w:t xml:space="preserve">Angebots- und Lieferantenseite</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Telekom-, Geräte- und Zahlungspartner</w:t>
            </w:r>
          </w:p>
        </w:tc>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Eigene Angebote differenzieren und Kunden binden</w:t>
            </w:r>
          </w:p>
        </w:tc>
        <w:tc>
          <w:tcPr>
            <w:tcW w:type="dxa" w:w="289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Distribution und Abrechnung gegen Bündelwert</w:t>
            </w:r>
          </w:p>
        </w:tc>
        <w:tc>
          <w:tcPr>
            <w:tcW w:type="dxa" w:w="212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Vertrieb und Partnerschaften</w:t>
            </w:r>
          </w:p>
        </w:tc>
      </w:tr>
    </w:tbl>
    <w:p>
      <w:pPr>
        <w:pStyle w:val="Heading2"/>
        <w:spacing w:after="120" w:before="280"/>
      </w:pPr>
      <w:r>
        <w:rPr>
          <w:rFonts w:ascii="Calibri" w:cs="Calibri" w:eastAsia="Calibri" w:hAnsi="Calibri"/>
          <w:b/>
          <w:bCs/>
          <w:color w:val="1B5E43"/>
          <w:sz w:val="24"/>
          <w:szCs w:val="24"/>
        </w:rPr>
        <w:t xml:space="preserve">4.4 Markt- und Unternehmensindikatoren</w:t>
      </w:r>
    </w:p>
    <w:p>
      <w:pPr>
        <w:spacing w:after="140" w:line="288"/>
      </w:pPr>
      <w:r>
        <w:rPr>
          <w:color w:val="1F2937"/>
          <w:sz w:val="21"/>
          <w:szCs w:val="21"/>
        </w:rPr>
        <w:t xml:space="preserve">Die Kennzahlen sind bewusst nach Bezugsraum, Zeitraum und Messlogik getrennt. BVMI und IFPI messen den Musikmarkt, Spotify misst seine Plattform. Daraus wird kein Spotify-Marktanteil für Deutschland konstruiert.</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446"/>
        <w:gridCol w:w="1928"/>
        <w:gridCol w:w="3181"/>
        <w:gridCol w:w="3083"/>
      </w:tblGrid>
      <w:tr>
        <w:trPr>
          <w:tblHeader/>
        </w:trPr>
        <w:tc>
          <w:tcPr>
            <w:tcW w:type="dxa" w:w="144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Bezugsraum / Zeitraum</w:t>
            </w:r>
          </w:p>
        </w:tc>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Kennzahl</w:t>
            </w:r>
          </w:p>
        </w:tc>
        <w:tc>
          <w:tcPr>
            <w:tcW w:type="dxa" w:w="318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Befund</w:t>
            </w:r>
          </w:p>
        </w:tc>
        <w:tc>
          <w:tcPr>
            <w:tcW w:type="dxa" w:w="308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Interpretationsgrenze</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Deutschland 2025</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Endverbraucherumsatz Recorded Music</w:t>
            </w:r>
          </w:p>
        </w:tc>
        <w:tc>
          <w:tcPr>
            <w:tcW w:type="dxa" w:w="3181"/>
            <w:tcMar>
              <w:top w:type="dxa" w:w="60"/>
              <w:left w:type="dxa" w:w="110"/>
              <w:bottom w:type="dxa" w:w="60"/>
              <w:right w:type="dxa" w:w="110"/>
            </w:tcMar>
            <w:vAlign w:val="top"/>
          </w:tcPr>
          <w:p>
            <w:pPr>
              <w:spacing w:after="40" w:before="40" w:line="264"/>
            </w:pPr>
            <w:r>
              <w:rPr>
                <w:b w:val="false"/>
                <w:bCs w:val="false"/>
                <w:color w:val="1F2937"/>
                <w:sz w:val="17"/>
                <w:szCs w:val="17"/>
              </w:rPr>
              <w:t xml:space="preserve">2,42 Mrd. €; +2,3 %</w:t>
            </w:r>
          </w:p>
        </w:tc>
        <w:tc>
          <w:tcPr>
            <w:tcW w:type="dxa" w:w="3083"/>
            <w:tcMar>
              <w:top w:type="dxa" w:w="60"/>
              <w:left w:type="dxa" w:w="110"/>
              <w:bottom w:type="dxa" w:w="60"/>
              <w:right w:type="dxa" w:w="110"/>
            </w:tcMar>
            <w:vAlign w:val="top"/>
          </w:tcPr>
          <w:p>
            <w:pPr>
              <w:spacing w:after="40" w:before="40" w:line="264"/>
            </w:pPr>
            <w:r>
              <w:rPr>
                <w:b w:val="false"/>
                <w:bCs w:val="false"/>
                <w:color w:val="1F2937"/>
                <w:sz w:val="17"/>
                <w:szCs w:val="17"/>
              </w:rPr>
              <w:t xml:space="preserve">Marktwachstum, aber keine Plattformumsätze.</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Deutschland 2025</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Streaming-Anteil</w:t>
            </w:r>
          </w:p>
        </w:tc>
        <w:tc>
          <w:tcPr>
            <w:tcW w:type="dxa" w:w="318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84,4 %; 2,04 Mrd. €; +4,1 %</w:t>
            </w:r>
          </w:p>
        </w:tc>
        <w:tc>
          <w:tcPr>
            <w:tcW w:type="dxa" w:w="308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Enthält Audio- und Videostreaming sowie Werbeerlöse.</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Deutschland 2025</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Audiostreams</w:t>
            </w:r>
          </w:p>
        </w:tc>
        <w:tc>
          <w:tcPr>
            <w:tcW w:type="dxa" w:w="3181"/>
            <w:tcMar>
              <w:top w:type="dxa" w:w="60"/>
              <w:left w:type="dxa" w:w="110"/>
              <w:bottom w:type="dxa" w:w="60"/>
              <w:right w:type="dxa" w:w="110"/>
            </w:tcMar>
            <w:vAlign w:val="top"/>
          </w:tcPr>
          <w:p>
            <w:pPr>
              <w:spacing w:after="40" w:before="40" w:line="264"/>
            </w:pPr>
            <w:r>
              <w:rPr>
                <w:b w:val="false"/>
                <w:bCs w:val="false"/>
                <w:color w:val="1F2937"/>
                <w:sz w:val="17"/>
                <w:szCs w:val="17"/>
              </w:rPr>
              <w:t xml:space="preserve">247,8 Mrd.; +5 %</w:t>
            </w:r>
          </w:p>
        </w:tc>
        <w:tc>
          <w:tcPr>
            <w:tcW w:type="dxa" w:w="3083"/>
            <w:tcMar>
              <w:top w:type="dxa" w:w="60"/>
              <w:left w:type="dxa" w:w="110"/>
              <w:bottom w:type="dxa" w:w="60"/>
              <w:right w:type="dxa" w:w="110"/>
            </w:tcMar>
            <w:vAlign w:val="top"/>
          </w:tcPr>
          <w:p>
            <w:pPr>
              <w:spacing w:after="40" w:before="40" w:line="264"/>
            </w:pPr>
            <w:r>
              <w:rPr>
                <w:b w:val="false"/>
                <w:bCs w:val="false"/>
                <w:color w:val="1F2937"/>
                <w:sz w:val="17"/>
                <w:szCs w:val="17"/>
              </w:rPr>
              <w:t xml:space="preserve">Nutzungsintensität; umfasst unterschiedliche Modelle.</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Deutschland 2025</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Streamingaccounts</w:t>
            </w:r>
          </w:p>
        </w:tc>
        <w:tc>
          <w:tcPr>
            <w:tcW w:type="dxa" w:w="318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35 % bezahlt; 13 % kostenlos</w:t>
            </w:r>
          </w:p>
        </w:tc>
        <w:tc>
          <w:tcPr>
            <w:tcW w:type="dxa" w:w="308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Dienstübergreifend, nicht Spotify-spezifisch.</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Deutschland 2025</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Audiostreaming-Anteil an der Musikhördauer</w:t>
            </w:r>
          </w:p>
        </w:tc>
        <w:tc>
          <w:tcPr>
            <w:tcW w:type="dxa" w:w="3181"/>
            <w:tcMar>
              <w:top w:type="dxa" w:w="60"/>
              <w:left w:type="dxa" w:w="110"/>
              <w:bottom w:type="dxa" w:w="60"/>
              <w:right w:type="dxa" w:w="110"/>
            </w:tcMar>
            <w:vAlign w:val="top"/>
          </w:tcPr>
          <w:p>
            <w:pPr>
              <w:spacing w:after="40" w:before="40" w:line="264"/>
            </w:pPr>
            <w:r>
              <w:rPr>
                <w:b w:val="false"/>
                <w:bCs w:val="false"/>
                <w:color w:val="1F2937"/>
                <w:sz w:val="17"/>
                <w:szCs w:val="17"/>
              </w:rPr>
              <w:t xml:space="preserve">16–19 J.: 50 %; 20–29 J.: 41 %; 30–39 J.: 39 %</w:t>
            </w:r>
          </w:p>
        </w:tc>
        <w:tc>
          <w:tcPr>
            <w:tcW w:type="dxa" w:w="3083"/>
            <w:tcMar>
              <w:top w:type="dxa" w:w="60"/>
              <w:left w:type="dxa" w:w="110"/>
              <w:bottom w:type="dxa" w:w="60"/>
              <w:right w:type="dxa" w:w="110"/>
            </w:tcMar>
            <w:vAlign w:val="top"/>
          </w:tcPr>
          <w:p>
            <w:pPr>
              <w:spacing w:after="40" w:before="40" w:line="264"/>
            </w:pPr>
            <w:r>
              <w:rPr>
                <w:b w:val="false"/>
                <w:bCs w:val="false"/>
                <w:color w:val="1F2937"/>
                <w:sz w:val="17"/>
                <w:szCs w:val="17"/>
              </w:rPr>
              <w:t xml:space="preserve">Stützt den Altersfokus; keine Spotify-Quote.</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Deutschland 2024/25</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Ausgaben und Zahlungsbereitschaft</w:t>
            </w:r>
          </w:p>
        </w:tc>
        <w:tc>
          <w:tcPr>
            <w:tcW w:type="dxa" w:w="318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Ø 11,20 €/Monat; 56 % der Nutzenden zahlen; 18 % nutzen ein fremdes Konto mit</w:t>
            </w:r>
          </w:p>
        </w:tc>
        <w:tc>
          <w:tcPr>
            <w:tcW w:type="dxa" w:w="308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Bitkom, Erhebung KW 13–18/2024, n = 1.149, ab 16 Jahren.</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Welt 2025</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Umsatz Recorded Music</w:t>
            </w:r>
          </w:p>
        </w:tc>
        <w:tc>
          <w:tcPr>
            <w:tcW w:type="dxa" w:w="3181"/>
            <w:tcMar>
              <w:top w:type="dxa" w:w="60"/>
              <w:left w:type="dxa" w:w="110"/>
              <w:bottom w:type="dxa" w:w="60"/>
              <w:right w:type="dxa" w:w="110"/>
            </w:tcMar>
            <w:vAlign w:val="top"/>
          </w:tcPr>
          <w:p>
            <w:pPr>
              <w:spacing w:after="40" w:before="40" w:line="264"/>
            </w:pPr>
            <w:r>
              <w:rPr>
                <w:b w:val="false"/>
                <w:bCs w:val="false"/>
                <w:color w:val="1F2937"/>
                <w:sz w:val="17"/>
                <w:szCs w:val="17"/>
              </w:rPr>
              <w:t xml:space="preserve">31,7 Mrd. US-$; +6,4 %; Streaming 69,6 %</w:t>
            </w:r>
          </w:p>
        </w:tc>
        <w:tc>
          <w:tcPr>
            <w:tcW w:type="dxa" w:w="3083"/>
            <w:tcMar>
              <w:top w:type="dxa" w:w="60"/>
              <w:left w:type="dxa" w:w="110"/>
              <w:bottom w:type="dxa" w:w="60"/>
              <w:right w:type="dxa" w:w="110"/>
            </w:tcMar>
            <w:vAlign w:val="top"/>
          </w:tcPr>
          <w:p>
            <w:pPr>
              <w:spacing w:after="40" w:before="40" w:line="264"/>
            </w:pPr>
            <w:r>
              <w:rPr>
                <w:b w:val="false"/>
                <w:bCs w:val="false"/>
                <w:color w:val="1F2937"/>
                <w:sz w:val="17"/>
                <w:szCs w:val="17"/>
              </w:rPr>
              <w:t xml:space="preserve">Trade Value der Rechteindustrie, nicht Plattformumsatz.</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Welt 2025</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Nutzer bezahlter Abo-Konten</w:t>
            </w:r>
          </w:p>
        </w:tc>
        <w:tc>
          <w:tcPr>
            <w:tcW w:type="dxa" w:w="318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837 Mio. (IFPI)</w:t>
            </w:r>
          </w:p>
        </w:tc>
        <w:tc>
          <w:tcPr>
            <w:tcW w:type="dxa" w:w="3083"/>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Andere Zähleinheit</w:t>
            </w:r>
            <w:r>
              <w:rPr>
                <w:b w:val="false"/>
                <w:bCs w:val="false"/>
                <w:color w:val="1F2937"/>
                <w:sz w:val="17"/>
                <w:szCs w:val="17"/>
              </w:rPr>
              <w:t xml:space="preserve"> als die 921,6 Mio. Abonnements bei MIDiA. Nicht vermischen.</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Q2 2026</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Reichweite</w:t>
            </w:r>
          </w:p>
        </w:tc>
        <w:tc>
          <w:tcPr>
            <w:tcW w:type="dxa" w:w="3181"/>
            <w:tcMar>
              <w:top w:type="dxa" w:w="60"/>
              <w:left w:type="dxa" w:w="110"/>
              <w:bottom w:type="dxa" w:w="60"/>
              <w:right w:type="dxa" w:w="110"/>
            </w:tcMar>
            <w:vAlign w:val="top"/>
          </w:tcPr>
          <w:p>
            <w:pPr>
              <w:spacing w:after="40" w:before="40" w:line="264"/>
            </w:pPr>
            <w:r>
              <w:rPr>
                <w:b w:val="false"/>
                <w:bCs w:val="false"/>
                <w:color w:val="1F2937"/>
                <w:sz w:val="17"/>
                <w:szCs w:val="17"/>
              </w:rPr>
              <w:t xml:space="preserve">777 Mio. MAU; 300 Mio. Premium; 494 Mio. werbefinanzierte MAU</w:t>
            </w:r>
          </w:p>
        </w:tc>
        <w:tc>
          <w:tcPr>
            <w:tcW w:type="dxa" w:w="3083"/>
            <w:tcMar>
              <w:top w:type="dxa" w:w="60"/>
              <w:left w:type="dxa" w:w="110"/>
              <w:bottom w:type="dxa" w:w="60"/>
              <w:right w:type="dxa" w:w="110"/>
            </w:tcMar>
            <w:vAlign w:val="top"/>
          </w:tcPr>
          <w:p>
            <w:pPr>
              <w:spacing w:after="40" w:before="40" w:line="264"/>
            </w:pPr>
            <w:r>
              <w:rPr>
                <w:b w:val="false"/>
                <w:bCs w:val="false"/>
                <w:color w:val="1F2937"/>
                <w:sz w:val="17"/>
                <w:szCs w:val="17"/>
              </w:rPr>
              <w:t xml:space="preserve">Globale eigene KPI; Gruppen nicht addieren, keine eindeutigen Personen.</w:t>
            </w:r>
          </w:p>
        </w:tc>
      </w:tr>
      <w:tr>
        <w:tc>
          <w:tcPr>
            <w:tcW w:type="dxa" w:w="144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Q2 2026</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Umsatzmix</w:t>
            </w:r>
          </w:p>
        </w:tc>
        <w:tc>
          <w:tcPr>
            <w:tcW w:type="dxa" w:w="318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4.331 Mio. € Premium; 446 Mio. € Werbung</w:t>
            </w:r>
          </w:p>
        </w:tc>
        <w:tc>
          <w:tcPr>
            <w:tcW w:type="dxa" w:w="308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 ≈ 91 % des Quartalsumsatzes; globale Segmentdaten.</w:t>
            </w:r>
          </w:p>
        </w:tc>
      </w:tr>
      <w:tr>
        <w:tc>
          <w:tcPr>
            <w:tcW w:type="dxa" w:w="1446"/>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Q2 2026</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Ertragslage</w:t>
            </w:r>
          </w:p>
        </w:tc>
        <w:tc>
          <w:tcPr>
            <w:tcW w:type="dxa" w:w="3181"/>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Premium-ARPU 4,89 € (+7,4 %); Bruttomarge 33,4 %</w:t>
            </w:r>
          </w:p>
        </w:tc>
        <w:tc>
          <w:tcPr>
            <w:tcW w:type="dxa" w:w="3083"/>
            <w:tcMar>
              <w:top w:type="dxa" w:w="60"/>
              <w:left w:type="dxa" w:w="110"/>
              <w:bottom w:type="dxa" w:w="60"/>
              <w:right w:type="dxa" w:w="110"/>
            </w:tcMar>
            <w:vAlign w:val="top"/>
          </w:tcPr>
          <w:p>
            <w:pPr>
              <w:spacing w:after="40" w:before="40" w:line="264"/>
            </w:pPr>
            <w:r>
              <w:rPr>
                <w:b w:val="false"/>
                <w:bCs w:val="false"/>
                <w:color w:val="1F2937"/>
                <w:sz w:val="17"/>
                <w:szCs w:val="17"/>
              </w:rPr>
              <w:t xml:space="preserve">ARPU ist der Gradmesser der Preisstrategie — Kapitel 5.2.</w:t>
            </w:r>
          </w:p>
        </w:tc>
      </w:tr>
    </w:tbl>
    <w:p>
      <w:pPr>
        <w:spacing w:after="140"/>
      </w:pPr>
    </w:p>
    <w:p>
      <w:pPr>
        <w:spacing w:after="160" w:line="276"/>
      </w:pPr>
      <w:r>
        <w:rPr>
          <w:i/>
          <w:iCs/>
          <w:color w:val="5B6470"/>
          <w:sz w:val="18"/>
          <w:szCs w:val="18"/>
        </w:rPr>
        <w:t xml:space="preserve">Quellen und Locatoren: BVMI 2026, 5–8, 16–17, 24–25, 31–34, 52; IFPI 2026, 6–7; Spotify Technology S.A. 2026a, 27–31; Bitkom 2025. Der Umsatzmix ist eigene Prozentrechnung auf Basis der Segmentumsätze, gerundet. Der Premium-ARPU ist gegen die 6-K-Tabelle zu prüfen, bevor er zitiert wird.</w:t>
      </w:r>
    </w:p>
    <w:p>
      <w:pPr>
        <w:pStyle w:val="Heading2"/>
        <w:spacing w:after="120" w:before="280"/>
      </w:pPr>
      <w:r>
        <w:rPr>
          <w:rFonts w:ascii="Calibri" w:cs="Calibri" w:eastAsia="Calibri" w:hAnsi="Calibri"/>
          <w:b/>
          <w:bCs/>
          <w:color w:val="1B5E43"/>
          <w:sz w:val="24"/>
          <w:szCs w:val="24"/>
        </w:rPr>
        <w:t xml:space="preserve">4.5 Marktpotenzial, Marktvolumen und Marktausschöpfung</w:t>
      </w:r>
    </w:p>
    <w:p>
      <w:pPr>
        <w:spacing w:after="140" w:line="288"/>
      </w:pPr>
      <w:r>
        <w:rPr>
          <w:color w:val="1F2937"/>
          <w:sz w:val="21"/>
          <w:szCs w:val="21"/>
        </w:rPr>
        <w:t xml:space="preserve">Meffert et al. unterscheiden Marktpotenzial, Marktvolumen, Absatzvolumen und daraus abgeleitet Marktanteil und Marktausschöpfungsgrad. Die eigentliche Aufgabe besteht darin, diese Größen für einen Markt zu bestimmen, für den es keine amtliche Statistik gibt. Die folgende Schätzung wendet die Potenzialformel nach Kotler et al. an: potenzielle Käuferzahl mal Menge mal Preis.</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3277"/>
        <w:gridCol w:w="2120"/>
        <w:gridCol w:w="4241"/>
      </w:tblGrid>
      <w:tr>
        <w:trPr>
          <w:tblHeader/>
        </w:trPr>
        <w:tc>
          <w:tcPr>
            <w:tcW w:type="dxa" w:w="3277"/>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Rechenschritt</w:t>
            </w:r>
          </w:p>
        </w:tc>
        <w:tc>
          <w:tcPr>
            <w:tcW w:type="dxa" w:w="212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Wert</w:t>
            </w:r>
          </w:p>
        </w:tc>
        <w:tc>
          <w:tcPr>
            <w:tcW w:type="dxa" w:w="424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Herleitung</w:t>
            </w:r>
          </w:p>
        </w:tc>
      </w:tr>
      <w:tr>
        <w:tc>
          <w:tcPr>
            <w:tcW w:type="dxa" w:w="3277"/>
            <w:tcMar>
              <w:top w:type="dxa" w:w="60"/>
              <w:left w:type="dxa" w:w="110"/>
              <w:bottom w:type="dxa" w:w="60"/>
              <w:right w:type="dxa" w:w="110"/>
            </w:tcMar>
            <w:vAlign w:val="top"/>
          </w:tcPr>
          <w:p>
            <w:pPr>
              <w:spacing w:after="40" w:before="40" w:line="264"/>
            </w:pPr>
            <w:r>
              <w:rPr>
                <w:b w:val="false"/>
                <w:bCs w:val="false"/>
                <w:color w:val="1F2937"/>
                <w:sz w:val="17"/>
                <w:szCs w:val="17"/>
              </w:rPr>
              <w:t xml:space="preserve">Bevölkerung ab 14 Jahren</w:t>
            </w:r>
          </w:p>
        </w:tc>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 72 Mio.</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Näherung — </w:t>
            </w:r>
            <w:r>
              <w:rPr>
                <w:b/>
                <w:bCs/>
                <w:color w:val="1F2937"/>
                <w:sz w:val="17"/>
                <w:szCs w:val="17"/>
              </w:rPr>
              <w:t xml:space="preserve">vor Abgabe an der amtlichen Statistik prüfen</w:t>
            </w:r>
          </w:p>
        </w:tc>
      </w:tr>
      <w:tr>
        <w:tc>
          <w:tcPr>
            <w:tcW w:type="dxa" w:w="327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Musikstreaming-Wochenreichweite</w:t>
            </w:r>
          </w:p>
        </w:tc>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45 %</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ARD/ZDF-Medienstudie 2025, Feldzeit 28.01.–18.04.2025, n = 2.512</w:t>
            </w:r>
          </w:p>
        </w:tc>
      </w:tr>
      <w:tr>
        <w:tc>
          <w:tcPr>
            <w:tcW w:type="dxa" w:w="3277"/>
            <w:tcMar>
              <w:top w:type="dxa" w:w="60"/>
              <w:left w:type="dxa" w:w="110"/>
              <w:bottom w:type="dxa" w:w="60"/>
              <w:right w:type="dxa" w:w="110"/>
            </w:tcMar>
            <w:vAlign w:val="top"/>
          </w:tcPr>
          <w:p>
            <w:pPr>
              <w:spacing w:after="40" w:before="40" w:line="264"/>
            </w:pPr>
            <w:r>
              <w:rPr>
                <w:b w:val="false"/>
                <w:bCs w:val="false"/>
                <w:color w:val="1F2937"/>
                <w:sz w:val="17"/>
                <w:szCs w:val="17"/>
              </w:rPr>
              <w:t xml:space="preserve">Potenzielle Käufer</w:t>
            </w:r>
          </w:p>
        </w:tc>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 32,4 Mio.</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72 Mio. × 0,45</w:t>
            </w:r>
          </w:p>
        </w:tc>
      </w:tr>
      <w:tr>
        <w:tc>
          <w:tcPr>
            <w:tcW w:type="dxa" w:w="327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Referenzpreis Einzelabo</w:t>
            </w:r>
          </w:p>
        </w:tc>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12,99 €/Monat</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Premium Individual, Stand 24.08.2026</w:t>
            </w:r>
          </w:p>
        </w:tc>
      </w:tr>
      <w:tr>
        <w:tc>
          <w:tcPr>
            <w:tcW w:type="dxa" w:w="3277"/>
            <w:tcMar>
              <w:top w:type="dxa" w:w="60"/>
              <w:left w:type="dxa" w:w="110"/>
              <w:bottom w:type="dxa" w:w="60"/>
              <w:right w:type="dxa" w:w="110"/>
            </w:tcMar>
            <w:vAlign w:val="top"/>
          </w:tcPr>
          <w:p>
            <w:pPr>
              <w:spacing w:after="40" w:before="40" w:line="264"/>
            </w:pPr>
            <w:r>
              <w:rPr>
                <w:b/>
                <w:bCs/>
                <w:color w:val="1F2937"/>
                <w:sz w:val="17"/>
                <w:szCs w:val="17"/>
              </w:rPr>
              <w:t xml:space="preserve">Marktpotenzial Deutschland</w:t>
            </w:r>
          </w:p>
        </w:tc>
        <w:tc>
          <w:tcPr>
            <w:tcW w:type="dxa" w:w="2120"/>
            <w:tcMar>
              <w:top w:type="dxa" w:w="60"/>
              <w:left w:type="dxa" w:w="110"/>
              <w:bottom w:type="dxa" w:w="60"/>
              <w:right w:type="dxa" w:w="110"/>
            </w:tcMar>
            <w:vAlign w:val="top"/>
          </w:tcPr>
          <w:p>
            <w:pPr>
              <w:spacing w:after="40" w:before="40" w:line="264"/>
            </w:pPr>
            <w:r>
              <w:rPr>
                <w:b/>
                <w:bCs/>
                <w:color w:val="1F2937"/>
                <w:sz w:val="17"/>
                <w:szCs w:val="17"/>
              </w:rPr>
              <w:t xml:space="preserve">≈ 5,05 Mrd. €/Jahr</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32,4 Mio. × 12,99 € × 12</w:t>
            </w:r>
          </w:p>
        </w:tc>
      </w:tr>
      <w:tr>
        <w:tc>
          <w:tcPr>
            <w:tcW w:type="dxa" w:w="3277"/>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Marktvolumen Deutschland</w:t>
            </w:r>
          </w:p>
        </w:tc>
        <w:tc>
          <w:tcPr>
            <w:tcW w:type="dxa" w:w="2120"/>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 2,04 Mrd. €</w:t>
            </w:r>
          </w:p>
        </w:tc>
        <w:tc>
          <w:tcPr>
            <w:tcW w:type="dxa" w:w="424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BVMI 2025: Handelsumsatz 2,42 Mrd. €, davon 84,4 % Streaming</w:t>
            </w:r>
          </w:p>
        </w:tc>
      </w:tr>
      <w:tr>
        <w:tc>
          <w:tcPr>
            <w:tcW w:type="dxa" w:w="3277"/>
            <w:tcMar>
              <w:top w:type="dxa" w:w="60"/>
              <w:left w:type="dxa" w:w="110"/>
              <w:bottom w:type="dxa" w:w="60"/>
              <w:right w:type="dxa" w:w="110"/>
            </w:tcMar>
            <w:vAlign w:val="top"/>
          </w:tcPr>
          <w:p>
            <w:pPr>
              <w:spacing w:after="40" w:before="40" w:line="264"/>
            </w:pPr>
            <w:r>
              <w:rPr>
                <w:b/>
                <w:bCs/>
                <w:color w:val="1F2937"/>
                <w:sz w:val="17"/>
                <w:szCs w:val="17"/>
              </w:rPr>
              <w:t xml:space="preserve">Marktausschöpfungsgrad</w:t>
            </w:r>
          </w:p>
        </w:tc>
        <w:tc>
          <w:tcPr>
            <w:tcW w:type="dxa" w:w="2120"/>
            <w:tcMar>
              <w:top w:type="dxa" w:w="60"/>
              <w:left w:type="dxa" w:w="110"/>
              <w:bottom w:type="dxa" w:w="60"/>
              <w:right w:type="dxa" w:w="110"/>
            </w:tcMar>
            <w:vAlign w:val="top"/>
          </w:tcPr>
          <w:p>
            <w:pPr>
              <w:spacing w:after="40" w:before="40" w:line="264"/>
            </w:pPr>
            <w:r>
              <w:rPr>
                <w:b/>
                <w:bCs/>
                <w:color w:val="1F2937"/>
                <w:sz w:val="17"/>
                <w:szCs w:val="17"/>
              </w:rPr>
              <w:t xml:space="preserve">≈ 40 %</w:t>
            </w:r>
          </w:p>
        </w:tc>
        <w:tc>
          <w:tcPr>
            <w:tcW w:type="dxa" w:w="4241"/>
            <w:tcMar>
              <w:top w:type="dxa" w:w="60"/>
              <w:left w:type="dxa" w:w="110"/>
              <w:bottom w:type="dxa" w:w="60"/>
              <w:right w:type="dxa" w:w="110"/>
            </w:tcMar>
            <w:vAlign w:val="top"/>
          </w:tcPr>
          <w:p>
            <w:pPr>
              <w:spacing w:after="40" w:before="40" w:line="264"/>
            </w:pPr>
            <w:r>
              <w:rPr>
                <w:b w:val="false"/>
                <w:bCs w:val="false"/>
                <w:color w:val="1F2937"/>
                <w:sz w:val="17"/>
                <w:szCs w:val="17"/>
              </w:rPr>
              <w:t xml:space="preserve">Marktvolumen ÷ Marktpotenzial</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Diese Rechnung gehört genau so in den Bericht — mit ihren drei Schwächen.</w:t>
            </w:r>
            <w:r>
              <w:rPr>
                <w:color w:val="1F2937"/>
                <w:sz w:val="19"/>
                <w:szCs w:val="19"/>
              </w:rPr>
              <w:t xml:space="preserve"> Erstens umfasst der BVMI-Handelsumsatz Audio- </w:t>
            </w:r>
            <w:r>
              <w:rPr>
                <w:i/>
                <w:iCs/>
                <w:color w:val="1F2937"/>
                <w:sz w:val="19"/>
                <w:szCs w:val="19"/>
              </w:rPr>
              <w:t xml:space="preserve">und</w:t>
            </w:r>
            <w:r>
              <w:rPr>
                <w:color w:val="1F2937"/>
                <w:sz w:val="19"/>
                <w:szCs w:val="19"/>
              </w:rPr>
              <w:t xml:space="preserve"> Videostreaming sowie werbefinanzierte Erlöse und ist deshalb nicht deckungsgleich mit den Abo-Ausgaben privater Haushalte. Zweitens schließt die Wochenreichweite Gratisnutzende ein, die per Definition nichts zum Volumen beitragen. Drittens unterstellt der Referenzpreis ein Einzelabo für alle, obwohl Familientarife den effektiven Preis pro Person deutlich senken.</w:t>
            </w:r>
          </w:p>
          <w:p>
            <w:pPr>
              <w:spacing w:after="60" w:before="60" w:line="276"/>
            </w:pPr>
            <w:r>
              <w:rPr>
                <w:b/>
                <w:bCs/>
                <w:color w:val="1F2937"/>
                <w:sz w:val="19"/>
                <w:szCs w:val="19"/>
              </w:rPr>
              <w:t xml:space="preserve">Und eine Abgrenzung, die Arbeitsstand 1 zu Recht verlangt:</w:t>
            </w:r>
            <w:r>
              <w:rPr>
                <w:color w:val="1F2937"/>
                <w:sz w:val="19"/>
                <w:szCs w:val="19"/>
              </w:rPr>
              <w:t xml:space="preserve"> Der Ausschöpfungsgrad ist </w:t>
            </w:r>
            <w:r>
              <w:rPr>
                <w:i/>
                <w:iCs/>
                <w:color w:val="1F2937"/>
                <w:sz w:val="19"/>
                <w:szCs w:val="19"/>
              </w:rPr>
              <w:t xml:space="preserve">kein</w:t>
            </w:r>
            <w:r>
              <w:rPr>
                <w:color w:val="1F2937"/>
                <w:sz w:val="19"/>
                <w:szCs w:val="19"/>
              </w:rPr>
              <w:t xml:space="preserve"> Marktanteil. Ein Anbietermarktanteil für Deutschland wird nicht gebildet, weil dafür keine methodisch einheitliche Primärquelle existiert. Reichweiten sind kein Marktanteil — sie überschneiden sich, weil viele Menschen mehrere Dienste nutzen.</w:t>
            </w:r>
          </w:p>
        </w:tc>
      </w:tr>
    </w:tbl>
    <w:p>
      <w:pPr>
        <w:spacing w:after="120"/>
      </w:pPr>
    </w:p>
    <w:p>
      <w:pPr>
        <w:spacing w:after="140" w:line="288"/>
      </w:pPr>
      <w:r>
        <w:rPr>
          <w:color w:val="1F2937"/>
          <w:sz w:val="21"/>
          <w:szCs w:val="21"/>
        </w:rPr>
        <w:t xml:space="preserve">Inhaltlich ist der Ausschöpfungsgrad von rund 40 Prozent trotzdem die zentrale Zahl für die Argumentation: Der deutsche Markt ist weder gesättigt noch leicht auszuschöpfen. Das verbleibende Potenzial liegt gerade bei den Gratisnutzenden — also bei denen, deren Zahlungsbereitschaft unter dem aktuellen Spotify-Preis liegt. Damit ist die Preisfrage keine Randfrage, sondern die Wachstumsfrage.</w:t>
      </w:r>
    </w:p>
    <w:p>
      <w:pPr>
        <w:pStyle w:val="Heading2"/>
        <w:spacing w:after="120" w:before="280"/>
      </w:pPr>
      <w:r>
        <w:rPr>
          <w:rFonts w:ascii="Calibri" w:cs="Calibri" w:eastAsia="Calibri" w:hAnsi="Calibri"/>
          <w:b/>
          <w:bCs/>
          <w:color w:val="1B5E43"/>
          <w:sz w:val="24"/>
          <w:szCs w:val="24"/>
        </w:rPr>
        <w:t xml:space="preserve">4.6 Das Wettbewerbsumfeld</w:t>
      </w:r>
    </w:p>
    <w:p>
      <w:pPr>
        <w:pStyle w:val="Heading3"/>
        <w:spacing w:after="100" w:before="200"/>
      </w:pPr>
      <w:r>
        <w:rPr>
          <w:rFonts w:ascii="Calibri" w:cs="Calibri" w:eastAsia="Calibri" w:hAnsi="Calibri"/>
          <w:b/>
          <w:bCs/>
          <w:color w:val="1F2937"/>
          <w:sz w:val="21"/>
          <w:szCs w:val="21"/>
        </w:rPr>
        <w:t xml:space="preserve">Preise in Deutschland, Stand 24. August 2026 (Monatspreise)</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278"/>
        <w:gridCol w:w="1928"/>
        <w:gridCol w:w="1139"/>
        <w:gridCol w:w="1139"/>
        <w:gridCol w:w="1051"/>
        <w:gridCol w:w="2103"/>
      </w:tblGrid>
      <w:tr>
        <w:trPr>
          <w:tblHeader/>
        </w:trPr>
        <w:tc>
          <w:tcPr>
            <w:tcW w:type="dxa" w:w="227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Anbieter</w:t>
            </w:r>
          </w:p>
        </w:tc>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Einzel</w:t>
            </w:r>
          </w:p>
        </w:tc>
        <w:tc>
          <w:tcPr>
            <w:tcW w:type="dxa" w:w="113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Family</w:t>
            </w:r>
          </w:p>
        </w:tc>
        <w:tc>
          <w:tcPr>
            <w:tcW w:type="dxa" w:w="113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Student</w:t>
            </w:r>
          </w:p>
        </w:tc>
        <w:tc>
          <w:tcPr>
            <w:tcW w:type="dxa" w:w="105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Gratis-Tarif</w:t>
            </w:r>
          </w:p>
        </w:tc>
        <w:tc>
          <w:tcPr>
            <w:tcW w:type="dxa" w:w="210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Letzte Erhöhung</w:t>
            </w:r>
          </w:p>
        </w:tc>
      </w:tr>
      <w:tr>
        <w:tc>
          <w:tcPr>
            <w:tcW w:type="dxa" w:w="2278"/>
            <w:tcMar>
              <w:top w:type="dxa" w:w="60"/>
              <w:left w:type="dxa" w:w="110"/>
              <w:bottom w:type="dxa" w:w="60"/>
              <w:right w:type="dxa" w:w="110"/>
            </w:tcMar>
            <w:vAlign w:val="top"/>
          </w:tcPr>
          <w:p>
            <w:pPr>
              <w:spacing w:after="40" w:before="40" w:line="264"/>
            </w:pPr>
            <w:r>
              <w:rPr>
                <w:b/>
                <w:bCs/>
                <w:color w:val="1F2937"/>
                <w:sz w:val="17"/>
                <w:szCs w:val="17"/>
              </w:rPr>
              <w:t xml:space="preserve">Spotify</w:t>
            </w:r>
          </w:p>
        </w:tc>
        <w:tc>
          <w:tcPr>
            <w:tcW w:type="dxa" w:w="1928"/>
            <w:tcMar>
              <w:top w:type="dxa" w:w="60"/>
              <w:left w:type="dxa" w:w="110"/>
              <w:bottom w:type="dxa" w:w="60"/>
              <w:right w:type="dxa" w:w="110"/>
            </w:tcMar>
            <w:vAlign w:val="top"/>
          </w:tcPr>
          <w:p>
            <w:pPr>
              <w:spacing w:after="40" w:before="40" w:line="264"/>
            </w:pPr>
            <w:r>
              <w:rPr>
                <w:b/>
                <w:bCs/>
                <w:color w:val="1F2937"/>
                <w:sz w:val="17"/>
                <w:szCs w:val="17"/>
              </w:rPr>
              <w:t xml:space="preserve">12,99 €</w:t>
            </w:r>
          </w:p>
        </w:tc>
        <w:tc>
          <w:tcPr>
            <w:tcW w:type="dxa" w:w="1139"/>
            <w:tcMar>
              <w:top w:type="dxa" w:w="60"/>
              <w:left w:type="dxa" w:w="110"/>
              <w:bottom w:type="dxa" w:w="60"/>
              <w:right w:type="dxa" w:w="110"/>
            </w:tcMar>
            <w:vAlign w:val="top"/>
          </w:tcPr>
          <w:p>
            <w:pPr>
              <w:spacing w:after="40" w:before="40" w:line="264"/>
            </w:pPr>
            <w:r>
              <w:rPr>
                <w:b w:val="false"/>
                <w:bCs w:val="false"/>
                <w:color w:val="1F2937"/>
                <w:sz w:val="17"/>
                <w:szCs w:val="17"/>
              </w:rPr>
              <w:t xml:space="preserve">21,99 €</w:t>
            </w:r>
          </w:p>
        </w:tc>
        <w:tc>
          <w:tcPr>
            <w:tcW w:type="dxa" w:w="1139"/>
            <w:tcMar>
              <w:top w:type="dxa" w:w="60"/>
              <w:left w:type="dxa" w:w="110"/>
              <w:bottom w:type="dxa" w:w="60"/>
              <w:right w:type="dxa" w:w="110"/>
            </w:tcMar>
            <w:vAlign w:val="top"/>
          </w:tcPr>
          <w:p>
            <w:pPr>
              <w:spacing w:after="40" w:before="40" w:line="264"/>
            </w:pPr>
            <w:r>
              <w:rPr>
                <w:b w:val="false"/>
                <w:bCs w:val="false"/>
                <w:color w:val="1F2937"/>
                <w:sz w:val="17"/>
                <w:szCs w:val="17"/>
              </w:rPr>
              <w:t xml:space="preserve">6,99 €</w:t>
            </w:r>
          </w:p>
        </w:tc>
        <w:tc>
          <w:tcPr>
            <w:tcW w:type="dxa" w:w="1051"/>
            <w:tcMar>
              <w:top w:type="dxa" w:w="60"/>
              <w:left w:type="dxa" w:w="110"/>
              <w:bottom w:type="dxa" w:w="60"/>
              <w:right w:type="dxa" w:w="110"/>
            </w:tcMar>
            <w:vAlign w:val="top"/>
          </w:tcPr>
          <w:p>
            <w:pPr>
              <w:spacing w:after="40" w:before="40" w:line="264"/>
            </w:pPr>
            <w:r>
              <w:rPr>
                <w:b w:val="false"/>
                <w:bCs w:val="false"/>
                <w:color w:val="1F2937"/>
                <w:sz w:val="17"/>
                <w:szCs w:val="17"/>
              </w:rPr>
              <w:t xml:space="preserve">ja</w:t>
            </w:r>
          </w:p>
        </w:tc>
        <w:tc>
          <w:tcPr>
            <w:tcW w:type="dxa" w:w="2103"/>
            <w:tcMar>
              <w:top w:type="dxa" w:w="60"/>
              <w:left w:type="dxa" w:w="110"/>
              <w:bottom w:type="dxa" w:w="60"/>
              <w:right w:type="dxa" w:w="110"/>
            </w:tcMar>
            <w:vAlign w:val="top"/>
          </w:tcPr>
          <w:p>
            <w:pPr>
              <w:spacing w:after="40" w:before="40" w:line="264"/>
            </w:pPr>
            <w:r>
              <w:rPr>
                <w:b w:val="false"/>
                <w:bCs w:val="false"/>
                <w:color w:val="1F2937"/>
                <w:sz w:val="17"/>
                <w:szCs w:val="17"/>
              </w:rPr>
              <w:t xml:space="preserve">14.08.2025 (von 10,99 €)</w:t>
            </w:r>
          </w:p>
        </w:tc>
      </w:tr>
      <w:tr>
        <w:tc>
          <w:tcPr>
            <w:tcW w:type="dxa" w:w="227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Tidal</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12,99 €</w:t>
            </w:r>
          </w:p>
        </w:tc>
        <w:tc>
          <w:tcPr>
            <w:tcW w:type="dxa" w:w="113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21,99 €</w:t>
            </w:r>
          </w:p>
        </w:tc>
        <w:tc>
          <w:tcPr>
            <w:tcW w:type="dxa" w:w="113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5,49 €</w:t>
            </w:r>
          </w:p>
        </w:tc>
        <w:tc>
          <w:tcPr>
            <w:tcW w:type="dxa" w:w="105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nein</w:t>
            </w:r>
          </w:p>
        </w:tc>
        <w:tc>
          <w:tcPr>
            <w:tcW w:type="dxa" w:w="210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03.08.2026 (von 10,99 €)</w:t>
            </w:r>
          </w:p>
        </w:tc>
      </w:tr>
      <w:tr>
        <w:tc>
          <w:tcPr>
            <w:tcW w:type="dxa" w:w="2278"/>
            <w:tcMar>
              <w:top w:type="dxa" w:w="60"/>
              <w:left w:type="dxa" w:w="110"/>
              <w:bottom w:type="dxa" w:w="60"/>
              <w:right w:type="dxa" w:w="110"/>
            </w:tcMar>
            <w:vAlign w:val="top"/>
          </w:tcPr>
          <w:p>
            <w:pPr>
              <w:spacing w:after="40" w:before="40" w:line="264"/>
            </w:pPr>
            <w:r>
              <w:rPr>
                <w:b w:val="false"/>
                <w:bCs w:val="false"/>
                <w:color w:val="1F2937"/>
                <w:sz w:val="17"/>
                <w:szCs w:val="17"/>
              </w:rPr>
              <w:t xml:space="preserve">Apple Music</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11,99 €</w:t>
            </w:r>
          </w:p>
        </w:tc>
        <w:tc>
          <w:tcPr>
            <w:tcW w:type="dxa" w:w="1139"/>
            <w:tcMar>
              <w:top w:type="dxa" w:w="60"/>
              <w:left w:type="dxa" w:w="110"/>
              <w:bottom w:type="dxa" w:w="60"/>
              <w:right w:type="dxa" w:w="110"/>
            </w:tcMar>
            <w:vAlign w:val="top"/>
          </w:tcPr>
          <w:p>
            <w:pPr>
              <w:spacing w:after="40" w:before="40" w:line="264"/>
            </w:pPr>
            <w:r>
              <w:rPr>
                <w:b w:val="false"/>
                <w:bCs w:val="false"/>
                <w:color w:val="1F2937"/>
                <w:sz w:val="17"/>
                <w:szCs w:val="17"/>
              </w:rPr>
              <w:t xml:space="preserve">19,99 €</w:t>
            </w:r>
          </w:p>
        </w:tc>
        <w:tc>
          <w:tcPr>
            <w:tcW w:type="dxa" w:w="1139"/>
            <w:tcMar>
              <w:top w:type="dxa" w:w="60"/>
              <w:left w:type="dxa" w:w="110"/>
              <w:bottom w:type="dxa" w:w="60"/>
              <w:right w:type="dxa" w:w="110"/>
            </w:tcMar>
            <w:vAlign w:val="top"/>
          </w:tcPr>
          <w:p>
            <w:pPr>
              <w:spacing w:after="40" w:before="40" w:line="264"/>
            </w:pPr>
            <w:r>
              <w:rPr>
                <w:b w:val="false"/>
                <w:bCs w:val="false"/>
                <w:color w:val="1F2937"/>
                <w:sz w:val="17"/>
                <w:szCs w:val="17"/>
              </w:rPr>
              <w:t xml:space="preserve">6,99 €</w:t>
            </w:r>
          </w:p>
        </w:tc>
        <w:tc>
          <w:tcPr>
            <w:tcW w:type="dxa" w:w="1051"/>
            <w:tcMar>
              <w:top w:type="dxa" w:w="60"/>
              <w:left w:type="dxa" w:w="110"/>
              <w:bottom w:type="dxa" w:w="60"/>
              <w:right w:type="dxa" w:w="110"/>
            </w:tcMar>
            <w:vAlign w:val="top"/>
          </w:tcPr>
          <w:p>
            <w:pPr>
              <w:spacing w:after="40" w:before="40" w:line="264"/>
            </w:pPr>
            <w:r>
              <w:rPr>
                <w:b w:val="false"/>
                <w:bCs w:val="false"/>
                <w:color w:val="1F2937"/>
                <w:sz w:val="17"/>
                <w:szCs w:val="17"/>
              </w:rPr>
              <w:t xml:space="preserve">nein</w:t>
            </w:r>
          </w:p>
        </w:tc>
        <w:tc>
          <w:tcPr>
            <w:tcW w:type="dxa" w:w="2103"/>
            <w:tcMar>
              <w:top w:type="dxa" w:w="60"/>
              <w:left w:type="dxa" w:w="110"/>
              <w:bottom w:type="dxa" w:w="60"/>
              <w:right w:type="dxa" w:w="110"/>
            </w:tcMar>
            <w:vAlign w:val="top"/>
          </w:tcPr>
          <w:p>
            <w:pPr>
              <w:spacing w:after="40" w:before="40" w:line="264"/>
            </w:pPr>
            <w:r>
              <w:rPr>
                <w:b w:val="false"/>
                <w:bCs w:val="false"/>
                <w:color w:val="1F2937"/>
                <w:sz w:val="17"/>
                <w:szCs w:val="17"/>
              </w:rPr>
              <w:t xml:space="preserve">18.07.2026 (von 10,99 €)</w:t>
            </w:r>
          </w:p>
        </w:tc>
      </w:tr>
      <w:tr>
        <w:tc>
          <w:tcPr>
            <w:tcW w:type="dxa" w:w="227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YouTube Music</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11,99 €</w:t>
            </w:r>
          </w:p>
        </w:tc>
        <w:tc>
          <w:tcPr>
            <w:tcW w:type="dxa" w:w="113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18,99 €</w:t>
            </w:r>
          </w:p>
        </w:tc>
        <w:tc>
          <w:tcPr>
            <w:tcW w:type="dxa" w:w="113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5,99 €</w:t>
            </w:r>
          </w:p>
        </w:tc>
        <w:tc>
          <w:tcPr>
            <w:tcW w:type="dxa" w:w="105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ja</w:t>
            </w:r>
          </w:p>
        </w:tc>
        <w:tc>
          <w:tcPr>
            <w:tcW w:type="dxa" w:w="210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16.07.2026 (von 10,99 €)</w:t>
            </w:r>
          </w:p>
        </w:tc>
      </w:tr>
      <w:tr>
        <w:tc>
          <w:tcPr>
            <w:tcW w:type="dxa" w:w="2278"/>
            <w:tcMar>
              <w:top w:type="dxa" w:w="60"/>
              <w:left w:type="dxa" w:w="110"/>
              <w:bottom w:type="dxa" w:w="60"/>
              <w:right w:type="dxa" w:w="110"/>
            </w:tcMar>
            <w:vAlign w:val="top"/>
          </w:tcPr>
          <w:p>
            <w:pPr>
              <w:spacing w:after="40" w:before="40" w:line="264"/>
            </w:pPr>
            <w:r>
              <w:rPr>
                <w:b w:val="false"/>
                <w:bCs w:val="false"/>
                <w:color w:val="1F2937"/>
                <w:sz w:val="17"/>
                <w:szCs w:val="17"/>
              </w:rPr>
              <w:t xml:space="preserve">Deezer</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11,99 €</w:t>
            </w:r>
          </w:p>
        </w:tc>
        <w:tc>
          <w:tcPr>
            <w:tcW w:type="dxa" w:w="1139"/>
            <w:tcMar>
              <w:top w:type="dxa" w:w="60"/>
              <w:left w:type="dxa" w:w="110"/>
              <w:bottom w:type="dxa" w:w="60"/>
              <w:right w:type="dxa" w:w="110"/>
            </w:tcMar>
            <w:vAlign w:val="top"/>
          </w:tcPr>
          <w:p>
            <w:pPr>
              <w:spacing w:after="40" w:before="40" w:line="264"/>
            </w:pPr>
            <w:r>
              <w:rPr>
                <w:b w:val="false"/>
                <w:bCs w:val="false"/>
                <w:color w:val="1F2937"/>
                <w:sz w:val="17"/>
                <w:szCs w:val="17"/>
              </w:rPr>
              <w:t xml:space="preserve">19,99 €</w:t>
            </w:r>
          </w:p>
        </w:tc>
        <w:tc>
          <w:tcPr>
            <w:tcW w:type="dxa" w:w="1139"/>
            <w:tcMar>
              <w:top w:type="dxa" w:w="60"/>
              <w:left w:type="dxa" w:w="110"/>
              <w:bottom w:type="dxa" w:w="60"/>
              <w:right w:type="dxa" w:w="110"/>
            </w:tcMar>
            <w:vAlign w:val="top"/>
          </w:tcPr>
          <w:p>
            <w:pPr>
              <w:spacing w:after="40" w:before="40" w:line="264"/>
            </w:pPr>
            <w:r>
              <w:rPr>
                <w:b w:val="false"/>
                <w:bCs w:val="false"/>
                <w:color w:val="1F2937"/>
                <w:sz w:val="17"/>
                <w:szCs w:val="17"/>
              </w:rPr>
              <w:t xml:space="preserve">5,99 €</w:t>
            </w:r>
          </w:p>
        </w:tc>
        <w:tc>
          <w:tcPr>
            <w:tcW w:type="dxa" w:w="1051"/>
            <w:tcMar>
              <w:top w:type="dxa" w:w="60"/>
              <w:left w:type="dxa" w:w="110"/>
              <w:bottom w:type="dxa" w:w="60"/>
              <w:right w:type="dxa" w:w="110"/>
            </w:tcMar>
            <w:vAlign w:val="top"/>
          </w:tcPr>
          <w:p>
            <w:pPr>
              <w:spacing w:after="40" w:before="40" w:line="264"/>
            </w:pPr>
            <w:r>
              <w:rPr>
                <w:b w:val="false"/>
                <w:bCs w:val="false"/>
                <w:color w:val="1F2937"/>
                <w:sz w:val="17"/>
                <w:szCs w:val="17"/>
              </w:rPr>
              <w:t xml:space="preserve">ja</w:t>
            </w:r>
          </w:p>
        </w:tc>
        <w:tc>
          <w:tcPr>
            <w:tcW w:type="dxa" w:w="2103"/>
            <w:tcMar>
              <w:top w:type="dxa" w:w="60"/>
              <w:left w:type="dxa" w:w="110"/>
              <w:bottom w:type="dxa" w:w="60"/>
              <w:right w:type="dxa" w:w="110"/>
            </w:tcMar>
            <w:vAlign w:val="top"/>
          </w:tcPr>
          <w:p>
            <w:pPr>
              <w:spacing w:after="40" w:before="40" w:line="264"/>
            </w:pPr>
            <w:r>
              <w:rPr>
                <w:b w:val="false"/>
                <w:bCs w:val="false"/>
                <w:color w:val="1F2937"/>
                <w:sz w:val="17"/>
                <w:szCs w:val="17"/>
              </w:rPr>
              <w:t xml:space="preserve">—</w:t>
            </w:r>
          </w:p>
        </w:tc>
      </w:tr>
      <w:tr>
        <w:tc>
          <w:tcPr>
            <w:tcW w:type="dxa" w:w="227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Amazon Music Unlimited</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10,99 € (9,99 € mit Prime)</w:t>
            </w:r>
          </w:p>
        </w:tc>
        <w:tc>
          <w:tcPr>
            <w:tcW w:type="dxa" w:w="113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16,99 €</w:t>
            </w:r>
          </w:p>
        </w:tc>
        <w:tc>
          <w:tcPr>
            <w:tcW w:type="dxa" w:w="113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5,99 €</w:t>
            </w:r>
          </w:p>
        </w:tc>
        <w:tc>
          <w:tcPr>
            <w:tcW w:type="dxa" w:w="105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ja</w:t>
            </w:r>
          </w:p>
        </w:tc>
        <w:tc>
          <w:tcPr>
            <w:tcW w:type="dxa" w:w="210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t>
            </w:r>
          </w:p>
        </w:tc>
      </w:tr>
    </w:tbl>
    <w:p>
      <w:pPr>
        <w:spacing w:after="140"/>
      </w:pPr>
    </w:p>
    <w:p>
      <w:pPr>
        <w:spacing w:after="160" w:line="276"/>
      </w:pPr>
      <w:r>
        <w:rPr>
          <w:i/>
          <w:iCs/>
          <w:color w:val="5B6470"/>
          <w:sz w:val="18"/>
          <w:szCs w:val="18"/>
        </w:rPr>
        <w:t xml:space="preserve">Preisstand 24.08.2026. Spotify, Apple, YouTube und Deezer aus den offiziellen deutschen Angebotsseiten; der Amazon-Preis über eine Sekundärquelle vom 05.01.2026, da die offizielle About-Amazon-Seite auf Stand 08/2024 steht und amazon.de automatisierte Abrufe blockiert. Vor der Abgabe alle sechs Angebotsseiten am finalen Abrufdatum als PDF archivieren — Preise sind der veränderlichste Teil der Arbeit.</w:t>
      </w:r>
    </w:p>
    <w:p>
      <w:pPr>
        <w:pStyle w:val="Heading3"/>
        <w:spacing w:after="100" w:before="200"/>
      </w:pPr>
      <w:r>
        <w:rPr>
          <w:rFonts w:ascii="Calibri" w:cs="Calibri" w:eastAsia="Calibri" w:hAnsi="Calibri"/>
          <w:b/>
          <w:bCs/>
          <w:color w:val="1F2937"/>
          <w:sz w:val="21"/>
          <w:szCs w:val="21"/>
        </w:rPr>
        <w:t xml:space="preserve">Anteile an den weltweit bezahlten Abonnements (MIDiA Research)</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699"/>
        <w:gridCol w:w="2313"/>
        <w:gridCol w:w="2313"/>
        <w:gridCol w:w="2313"/>
      </w:tblGrid>
      <w:tr>
        <w:trPr>
          <w:tblHeader/>
        </w:trPr>
        <w:tc>
          <w:tcPr>
            <w:tcW w:type="dxa" w:w="269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Anbieter</w:t>
            </w:r>
          </w:p>
        </w:tc>
        <w:tc>
          <w:tcPr>
            <w:tcW w:type="dxa" w:w="231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2024</w:t>
            </w:r>
          </w:p>
        </w:tc>
        <w:tc>
          <w:tcPr>
            <w:tcW w:type="dxa" w:w="231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Q4 2025</w:t>
            </w:r>
          </w:p>
        </w:tc>
        <w:tc>
          <w:tcPr>
            <w:tcW w:type="dxa" w:w="231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Veränderung</w:t>
            </w:r>
          </w:p>
        </w:tc>
      </w:tr>
      <w:tr>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32,2 % (≈ 263 Mio.)</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31,4 % (≈ 290 Mio.)</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− 0,8 Prozentpunkte</w:t>
            </w:r>
          </w:p>
        </w:tc>
      </w:tr>
      <w:tr>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Tencent Music</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14,7 %</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13,8 %</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− 0,9</w:t>
            </w:r>
          </w:p>
        </w:tc>
      </w:tr>
      <w:tr>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Apple Music</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11,6 %</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12,6 %</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+ 1,0</w:t>
            </w:r>
          </w:p>
        </w:tc>
      </w:tr>
      <w:tr>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YouTube Music</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10,1 %</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12,4 %</w:t>
            </w:r>
          </w:p>
        </w:tc>
        <w:tc>
          <w:tcPr>
            <w:tcW w:type="dxa" w:w="2313"/>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+ 2,3</w:t>
            </w:r>
          </w:p>
        </w:tc>
      </w:tr>
      <w:tr>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Amazon Music</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10,1 %</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8,5 %</w:t>
            </w:r>
          </w:p>
        </w:tc>
        <w:tc>
          <w:tcPr>
            <w:tcW w:type="dxa" w:w="2313"/>
            <w:tcMar>
              <w:top w:type="dxa" w:w="60"/>
              <w:left w:type="dxa" w:w="110"/>
              <w:bottom w:type="dxa" w:w="60"/>
              <w:right w:type="dxa" w:w="110"/>
            </w:tcMar>
            <w:vAlign w:val="top"/>
          </w:tcPr>
          <w:p>
            <w:pPr>
              <w:spacing w:after="40" w:before="40" w:line="264"/>
            </w:pPr>
            <w:r>
              <w:rPr>
                <w:b w:val="false"/>
                <w:bCs w:val="false"/>
                <w:color w:val="1F2937"/>
                <w:sz w:val="17"/>
                <w:szCs w:val="17"/>
              </w:rPr>
              <w:t xml:space="preserve">− 1,6</w:t>
            </w:r>
          </w:p>
        </w:tc>
      </w:tr>
      <w:tr>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Gesamtmarkt</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818,3 Mio. Abos</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921,6 Mio. Abos</w:t>
            </w:r>
          </w:p>
        </w:tc>
        <w:tc>
          <w:tcPr>
            <w:tcW w:type="dxa" w:w="231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+ 10,1 %</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Das Argument für Kapitel 1 und 3.</w:t>
            </w:r>
            <w:r>
              <w:rPr>
                <w:color w:val="1F2937"/>
                <w:sz w:val="19"/>
                <w:szCs w:val="19"/>
              </w:rPr>
              <w:t xml:space="preserve"> Spotify wächst absolut kräftig und verliert dennoch relativ Anteile — und verlangt gleichzeitig als einziger großer Anbieter dauerhaft den höchsten Preis. Wer diese beiden Beobachtungen zusammenbringt, hat die Fragestellung der Arbeit bereits begründet.</w:t>
            </w:r>
          </w:p>
          <w:p>
            <w:pPr>
              <w:spacing w:after="60" w:before="60" w:line="276"/>
            </w:pPr>
            <w:r>
              <w:rPr>
                <w:b/>
                <w:bCs/>
                <w:color w:val="1F2937"/>
                <w:sz w:val="19"/>
                <w:szCs w:val="19"/>
              </w:rPr>
              <w:t xml:space="preserve">Zwei Vorsichtsmaßnahmen.</w:t>
            </w:r>
            <w:r>
              <w:rPr>
                <w:color w:val="1F2937"/>
                <w:sz w:val="19"/>
                <w:szCs w:val="19"/>
              </w:rPr>
              <w:t xml:space="preserve"> Erstens die Stichtage: Spotifys 300 Mio. Premium-Abos stammen vom 30.06.2026, die MIDiA-Anteile vom Jahresende 2025 — nicht gegeneinander aufrechnen. Zweitens die Quellenlage: MIDiA-Anteile sind Schätzungen eines kommerziellen Analysehauses, der Originalbericht ist kostenpflichtig, und die Zahlen sind über die Fachpresse zugänglich. Beides gehört im Text gekennzeichnet — ein Satz wie „Die folgenden Anteile beruhen auf Schätzungen von MIDiA Research, da die übrigen Anbieter keine Abonnentenzahlen veröffentlichen" erfüllt das Kriterium „kritischer Umgang mit Quellen".</w:t>
            </w:r>
          </w:p>
        </w:tc>
      </w:tr>
    </w:tbl>
    <w:p>
      <w:pPr>
        <w:pStyle w:val="Heading2"/>
        <w:spacing w:after="120" w:before="280"/>
      </w:pPr>
      <w:r>
        <w:rPr>
          <w:rFonts w:ascii="Calibri" w:cs="Calibri" w:eastAsia="Calibri" w:hAnsi="Calibri"/>
          <w:b/>
          <w:bCs/>
          <w:color w:val="1B5E43"/>
          <w:sz w:val="24"/>
          <w:szCs w:val="24"/>
        </w:rPr>
        <w:t xml:space="preserve">4.7 Kundenbedürfnisse und Nutzungssituationen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928"/>
        <w:gridCol w:w="2699"/>
        <w:gridCol w:w="2699"/>
        <w:gridCol w:w="2312"/>
      </w:tblGrid>
      <w:tr>
        <w:trPr>
          <w:tblHeader/>
        </w:trPr>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Need / Job</w:t>
            </w:r>
          </w:p>
        </w:tc>
        <w:tc>
          <w:tcPr>
            <w:tcW w:type="dxa" w:w="269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Beobachtbarer Nutzen</w:t>
            </w:r>
          </w:p>
        </w:tc>
        <w:tc>
          <w:tcPr>
            <w:tcW w:type="dxa" w:w="269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Möglicher Friktionspunkt</w:t>
            </w:r>
          </w:p>
        </w:tc>
        <w:tc>
          <w:tcPr>
            <w:tcW w:type="dxa" w:w="231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Messung in der Befragung</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Schneller Zugang</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Passende Inhalte ohne Suchaufwand</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Unpassende Empfehlungen, Bedienaufwand</w:t>
            </w:r>
          </w:p>
        </w:tc>
        <w:tc>
          <w:tcPr>
            <w:tcW w:type="dxa" w:w="2312"/>
            <w:tcMar>
              <w:top w:type="dxa" w:w="60"/>
              <w:left w:type="dxa" w:w="110"/>
              <w:bottom w:type="dxa" w:w="60"/>
              <w:right w:type="dxa" w:w="110"/>
            </w:tcMar>
            <w:vAlign w:val="top"/>
          </w:tcPr>
          <w:p>
            <w:pPr>
              <w:spacing w:after="40" w:before="40" w:line="264"/>
            </w:pPr>
            <w:r>
              <w:rPr>
                <w:b w:val="false"/>
                <w:bCs w:val="false"/>
                <w:color w:val="1F2937"/>
                <w:sz w:val="17"/>
                <w:szCs w:val="17"/>
              </w:rPr>
              <w:t xml:space="preserve">Nutzwert und Passung</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Entdeckung</w:t>
            </w:r>
          </w:p>
        </w:tc>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Neue Künstler, Genres und Formate finden</w:t>
            </w:r>
          </w:p>
        </w:tc>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Filterblase, geringe Neuheit</w:t>
            </w:r>
          </w:p>
        </w:tc>
        <w:tc>
          <w:tcPr>
            <w:tcW w:type="dxa" w:w="231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Discovery-Wert</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Situationsbegleitung</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Musik für Pendeln, Lernen, Sport, Entspannung</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Unterbrechung, fehlende Offline-Nutzung</w:t>
            </w:r>
          </w:p>
        </w:tc>
        <w:tc>
          <w:tcPr>
            <w:tcW w:type="dxa" w:w="2312"/>
            <w:tcMar>
              <w:top w:type="dxa" w:w="60"/>
              <w:left w:type="dxa" w:w="110"/>
              <w:bottom w:type="dxa" w:w="60"/>
              <w:right w:type="dxa" w:w="110"/>
            </w:tcMar>
            <w:vAlign w:val="top"/>
          </w:tcPr>
          <w:p>
            <w:pPr>
              <w:spacing w:after="40" w:before="40" w:line="264"/>
            </w:pPr>
            <w:r>
              <w:rPr>
                <w:b w:val="false"/>
                <w:bCs w:val="false"/>
                <w:color w:val="1F2937"/>
                <w:sz w:val="17"/>
                <w:szCs w:val="17"/>
              </w:rPr>
              <w:t xml:space="preserve">Nutzungssituationen</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Kontrolle</w:t>
            </w:r>
          </w:p>
        </w:tc>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Freie Auswahl, Skippen, Queue, Gerätewechsel</w:t>
            </w:r>
          </w:p>
        </w:tc>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Einschränkungen im Free-Tarif</w:t>
            </w:r>
          </w:p>
        </w:tc>
        <w:tc>
          <w:tcPr>
            <w:tcW w:type="dxa" w:w="231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Premium-Zusatzwert</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Störungsfreies Hören</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Kontinuierlicher Hörfluss</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Werbehäufigkeit und -platzierung</w:t>
            </w:r>
          </w:p>
        </w:tc>
        <w:tc>
          <w:tcPr>
            <w:tcW w:type="dxa" w:w="2312"/>
            <w:tcMar>
              <w:top w:type="dxa" w:w="60"/>
              <w:left w:type="dxa" w:w="110"/>
              <w:bottom w:type="dxa" w:w="60"/>
              <w:right w:type="dxa" w:w="110"/>
            </w:tcMar>
            <w:vAlign w:val="top"/>
          </w:tcPr>
          <w:p>
            <w:pPr>
              <w:spacing w:after="40" w:before="40" w:line="264"/>
            </w:pPr>
            <w:r>
              <w:rPr>
                <w:b w:val="false"/>
                <w:bCs w:val="false"/>
                <w:color w:val="1F2937"/>
                <w:sz w:val="17"/>
                <w:szCs w:val="17"/>
              </w:rPr>
              <w:t xml:space="preserve">Werbeintrusivität</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Fairer Gegenwert</w:t>
            </w:r>
          </w:p>
        </w:tc>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Nutzen passt zu Eigenanteil und Alternativen</w:t>
            </w:r>
          </w:p>
        </w:tc>
        <w:tc>
          <w:tcPr>
            <w:tcW w:type="dxa" w:w="269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Preiserhöhungen, unklare Haushaltskosten</w:t>
            </w:r>
          </w:p>
        </w:tc>
        <w:tc>
          <w:tcPr>
            <w:tcW w:type="dxa" w:w="231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Preisfairness, Zahlungsrolle</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Soziale Anschlussfähigkeit</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Teilen, gemeinsame Nutzung, kulturelle Identität</w:t>
            </w:r>
          </w:p>
        </w:tc>
        <w:tc>
          <w:tcPr>
            <w:tcW w:type="dxa" w:w="2699"/>
            <w:tcMar>
              <w:top w:type="dxa" w:w="60"/>
              <w:left w:type="dxa" w:w="110"/>
              <w:bottom w:type="dxa" w:w="60"/>
              <w:right w:type="dxa" w:w="110"/>
            </w:tcMar>
            <w:vAlign w:val="top"/>
          </w:tcPr>
          <w:p>
            <w:pPr>
              <w:spacing w:after="40" w:before="40" w:line="264"/>
            </w:pPr>
            <w:r>
              <w:rPr>
                <w:b w:val="false"/>
                <w:bCs w:val="false"/>
                <w:color w:val="1F2937"/>
                <w:sz w:val="17"/>
                <w:szCs w:val="17"/>
              </w:rPr>
              <w:t xml:space="preserve">Fehlende Kontrolle über Privatsphäre</w:t>
            </w:r>
          </w:p>
        </w:tc>
        <w:tc>
          <w:tcPr>
            <w:tcW w:type="dxa" w:w="2312"/>
            <w:tcMar>
              <w:top w:type="dxa" w:w="60"/>
              <w:left w:type="dxa" w:w="110"/>
              <w:bottom w:type="dxa" w:w="60"/>
              <w:right w:type="dxa" w:w="110"/>
            </w:tcMar>
            <w:vAlign w:val="top"/>
          </w:tcPr>
          <w:p>
            <w:pPr>
              <w:spacing w:after="40" w:before="40" w:line="264"/>
            </w:pPr>
            <w:r>
              <w:rPr>
                <w:b w:val="false"/>
                <w:bCs w:val="false"/>
                <w:color w:val="1F2937"/>
                <w:sz w:val="17"/>
                <w:szCs w:val="17"/>
              </w:rPr>
              <w:t xml:space="preserve">Funktionsrelevanz</w:t>
            </w:r>
          </w:p>
        </w:tc>
      </w:tr>
    </w:tbl>
    <w:p>
      <w:pPr>
        <w:pStyle w:val="Heading2"/>
        <w:spacing w:after="120" w:before="280"/>
      </w:pPr>
      <w:r>
        <w:rPr>
          <w:rFonts w:ascii="Calibri" w:cs="Calibri" w:eastAsia="Calibri" w:hAnsi="Calibri"/>
          <w:b/>
          <w:bCs/>
          <w:color w:val="1B5E43"/>
          <w:sz w:val="24"/>
          <w:szCs w:val="24"/>
        </w:rPr>
        <w:t xml:space="preserve">4.8 Gewohnheit statt Abwägung — der wichtigste Befund</w:t>
      </w:r>
    </w:p>
    <w:p>
      <w:pPr>
        <w:spacing w:after="140" w:line="288"/>
      </w:pPr>
      <w:r>
        <w:rPr>
          <w:color w:val="1F2937"/>
          <w:sz w:val="21"/>
          <w:szCs w:val="21"/>
        </w:rPr>
        <w:t xml:space="preserve">Kotler und Armstrong ordnen Kaufverhalten nach Involvierung und wahrgenommenen Markenunterschieden in vier Typen. Ein Musikstreaming-Abo ist ein günstiges, routinehaft weiterlaufendes Produkt, und die Kataloge der Anbieter sind praktisch identisch: geringe Involvierung, geringe wahrgenommene Markenunterschiede. Das ergibt </w:t>
      </w:r>
      <w:r>
        <w:rPr>
          <w:b/>
          <w:bCs/>
          <w:color w:val="1F2937"/>
          <w:sz w:val="21"/>
          <w:szCs w:val="21"/>
        </w:rPr>
        <w:t xml:space="preserve">habituelles Kaufverhalten</w:t>
      </w:r>
      <w:r>
        <w:rPr>
          <w:color w:val="1F2937"/>
          <w:sz w:val="21"/>
          <w:szCs w:val="21"/>
        </w:rPr>
        <w:t xml:space="preserve">.</w:t>
      </w: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Darin liegt Spotifys Risiko — und die theoretische Brücke zu H1 und H3b.</w:t>
            </w:r>
            <w:r>
              <w:rPr>
                <w:color w:val="1F2937"/>
                <w:sz w:val="19"/>
                <w:szCs w:val="19"/>
              </w:rPr>
              <w:t xml:space="preserve"> Habituelles Verhalten ist stabil, solange nichts stört, aber es ist nicht loyal. Sobald ein Reiz die Routine unterbricht — eine Preiserhöhung um zwei Euro, eine als aufdringlich empfundene Werbeunterbrechung —, wird neu entschieden, und dann zählt der Preis. Personalisierung und die über Jahre gewachsene Bibliothek sind der Versuch, künstlich </w:t>
            </w:r>
            <w:r>
              <w:rPr>
                <w:i/>
                <w:iCs/>
                <w:color w:val="1F2937"/>
                <w:sz w:val="19"/>
                <w:szCs w:val="19"/>
              </w:rPr>
              <w:t xml:space="preserve">wahrgenommene Markenunterschiede</w:t>
            </w:r>
            <w:r>
              <w:rPr>
                <w:color w:val="1F2937"/>
                <w:sz w:val="19"/>
                <w:szCs w:val="19"/>
              </w:rPr>
              <w:t xml:space="preserve"> zu erzeugen und das Verhalten aus dem habituellen in den loyalen Bereich zu verschieben. Genau das ist die Bewegung, die H1 (Gesamtwert → Weiternutzung) und H3b (Intrusivität → Wechselabsicht) messen. Diese Deutung trägt die gesamte Arbeit.</w:t>
            </w:r>
          </w:p>
        </w:tc>
      </w:tr>
    </w:tbl>
    <w:p>
      <w:pPr>
        <w:spacing w:after="140"/>
      </w:pPr>
    </w:p>
    <w:p>
      <w:pPr>
        <w:pStyle w:val="Heading3"/>
        <w:spacing w:after="100" w:before="200"/>
      </w:pPr>
      <w:r>
        <w:rPr>
          <w:rFonts w:ascii="Calibri" w:cs="Calibri" w:eastAsia="Calibri" w:hAnsi="Calibri"/>
          <w:b/>
          <w:bCs/>
          <w:color w:val="1F2937"/>
          <w:sz w:val="21"/>
          <w:szCs w:val="21"/>
        </w:rPr>
        <w:t xml:space="preserve">SOR-Modell, angewandt</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928"/>
        <w:gridCol w:w="7710"/>
      </w:tblGrid>
      <w:tr>
        <w:trPr>
          <w:tblHeader/>
        </w:trPr>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Ebene</w:t>
            </w:r>
          </w:p>
        </w:tc>
        <w:tc>
          <w:tcPr>
            <w:tcW w:type="dxa" w:w="771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Ausgestaltung bei Spotify</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Stimulus — Marketing</w:t>
            </w:r>
          </w:p>
        </w:tc>
        <w:tc>
          <w:tcPr>
            <w:tcW w:type="dxa" w:w="7710"/>
            <w:tcMar>
              <w:top w:type="dxa" w:w="60"/>
              <w:left w:type="dxa" w:w="110"/>
              <w:bottom w:type="dxa" w:w="60"/>
              <w:right w:type="dxa" w:w="110"/>
            </w:tcMar>
            <w:vAlign w:val="top"/>
          </w:tcPr>
          <w:p>
            <w:pPr>
              <w:spacing w:after="40" w:before="40" w:line="264"/>
            </w:pPr>
            <w:r>
              <w:rPr>
                <w:b w:val="false"/>
                <w:bCs w:val="false"/>
                <w:color w:val="1F2937"/>
                <w:sz w:val="17"/>
                <w:szCs w:val="17"/>
              </w:rPr>
              <w:t xml:space="preserve">Kostenloser Einstieg ohne Zahlungsdaten; Werbeunterbrechungen als bewusst gesetzter Reibungspunkt; Preisschwelle 12,99 €; befristete Probeaktionen; monatliches Hörbuchkontingent als Premium-Exklusivnutzen.</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Stimulus — sonstige</w:t>
            </w:r>
          </w:p>
        </w:tc>
        <w:tc>
          <w:tcPr>
            <w:tcW w:type="dxa" w:w="771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Peer-Group und geteilte Playlists; Mitnutzung fremder Familientarife — 18 % der Streamingnutzenden in Deutschland nutzen ein Konto, für das sie nicht zahlen (Bitkom); Fandom und Konzertbezug.</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Organismus</w:t>
            </w:r>
          </w:p>
        </w:tc>
        <w:tc>
          <w:tcPr>
            <w:tcW w:type="dxa" w:w="7710"/>
            <w:tcMar>
              <w:top w:type="dxa" w:w="60"/>
              <w:left w:type="dxa" w:w="110"/>
              <w:bottom w:type="dxa" w:w="60"/>
              <w:right w:type="dxa" w:w="110"/>
            </w:tcMar>
            <w:vAlign w:val="top"/>
          </w:tcPr>
          <w:p>
            <w:pPr>
              <w:spacing w:after="40" w:before="40" w:line="264"/>
            </w:pPr>
            <w:r>
              <w:rPr>
                <w:b w:val="false"/>
                <w:bCs w:val="false"/>
                <w:color w:val="1F2937"/>
                <w:sz w:val="17"/>
                <w:szCs w:val="17"/>
              </w:rPr>
              <w:t xml:space="preserve">Referenzpreis rund 11,20 €/Monat (Bitkom) — </w:t>
            </w:r>
            <w:r>
              <w:rPr>
                <w:b/>
                <w:bCs/>
                <w:color w:val="1F2937"/>
                <w:sz w:val="17"/>
                <w:szCs w:val="17"/>
              </w:rPr>
              <w:t xml:space="preserve">unterhalb</w:t>
            </w:r>
            <w:r>
              <w:rPr>
                <w:b w:val="false"/>
                <w:bCs w:val="false"/>
                <w:color w:val="1F2937"/>
                <w:sz w:val="17"/>
                <w:szCs w:val="17"/>
              </w:rPr>
              <w:t xml:space="preserve"> des Spotify-Preises; geringe Preiskenntnis wegen automatischer Verlängerung; wahrgenommene Wechselkosten aus Playlists, Hörhistorie und Empfehlungsqualität; niedriges Involvement.</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Response</w:t>
            </w:r>
          </w:p>
        </w:tc>
        <w:tc>
          <w:tcPr>
            <w:tcW w:type="dxa" w:w="771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Konversion zu Premium, Verbleib im Free-Tarif, Wechsel in einen Familientarif, Wechsel zu einem günstigeren Anbieter, Kündigung — oder Mitnutzung statt Kauf.</w:t>
            </w:r>
          </w:p>
        </w:tc>
      </w:tr>
    </w:tbl>
    <w:p>
      <w:pPr>
        <w:spacing w:after="140"/>
      </w:pPr>
    </w:p>
    <w:p>
      <w:pPr>
        <w:pStyle w:val="Heading3"/>
        <w:spacing w:after="100" w:before="200"/>
      </w:pPr>
      <w:r>
        <w:rPr>
          <w:rFonts w:ascii="Calibri" w:cs="Calibri" w:eastAsia="Calibri" w:hAnsi="Calibri"/>
          <w:b/>
          <w:bCs/>
          <w:color w:val="1F2937"/>
          <w:sz w:val="21"/>
          <w:szCs w:val="21"/>
        </w:rPr>
        <w:t xml:space="preserve">Fünfstufiger Kaufentscheidungsprozess, angewandt auf den Wechsel Free → Premium</w:t>
      </w:r>
    </w:p>
    <w:p>
      <w:pPr>
        <w:pStyle w:val="ListParagraph"/>
        <w:numPr>
          <w:ilvl w:val="0"/>
          <w:numId w:val="2"/>
        </w:numPr>
        <w:spacing w:after="90" w:line="288"/>
      </w:pPr>
      <w:r>
        <w:rPr>
          <w:b/>
          <w:bCs/>
          <w:color w:val="1F2937"/>
          <w:sz w:val="21"/>
          <w:szCs w:val="21"/>
        </w:rPr>
        <w:t xml:space="preserve">Bedarfserkennung:</w:t>
      </w:r>
      <w:r>
        <w:rPr>
          <w:color w:val="1F2937"/>
          <w:sz w:val="21"/>
          <w:szCs w:val="21"/>
        </w:rPr>
        <w:t xml:space="preserve"> Werbeunterbrechung im ungeeigneten Moment, fehlender Offline-Modus im Zug, kein Hörbuchzugang.</w:t>
      </w:r>
    </w:p>
    <w:p>
      <w:pPr>
        <w:pStyle w:val="ListParagraph"/>
        <w:numPr>
          <w:ilvl w:val="0"/>
          <w:numId w:val="2"/>
        </w:numPr>
        <w:spacing w:after="90" w:line="288"/>
      </w:pPr>
      <w:r>
        <w:rPr>
          <w:b/>
          <w:bCs/>
          <w:color w:val="1F2937"/>
          <w:sz w:val="21"/>
          <w:szCs w:val="21"/>
        </w:rPr>
        <w:t xml:space="preserve">Informationssuche:</w:t>
      </w:r>
      <w:r>
        <w:rPr>
          <w:color w:val="1F2937"/>
          <w:sz w:val="21"/>
          <w:szCs w:val="21"/>
        </w:rPr>
        <w:t xml:space="preserve"> überwiegend intern und sozial — Preise kennt man aus dem Umfeld, nicht aus Recherche.</w:t>
      </w:r>
    </w:p>
    <w:p>
      <w:pPr>
        <w:pStyle w:val="ListParagraph"/>
        <w:numPr>
          <w:ilvl w:val="0"/>
          <w:numId w:val="2"/>
        </w:numPr>
        <w:spacing w:after="90" w:line="288"/>
      </w:pPr>
      <w:r>
        <w:rPr>
          <w:b/>
          <w:bCs/>
          <w:color w:val="1F2937"/>
          <w:sz w:val="21"/>
          <w:szCs w:val="21"/>
        </w:rPr>
        <w:t xml:space="preserve">Bewertung der Alternativen:</w:t>
      </w:r>
      <w:r>
        <w:rPr>
          <w:color w:val="1F2937"/>
          <w:sz w:val="21"/>
          <w:szCs w:val="21"/>
        </w:rPr>
        <w:t xml:space="preserve"> Preisvergleich mit Apple Music, Amazon und YouTube Music; Prüfung des Studierendentarifs; Prüfung, ob ein Platz in einem fremden Familientarif frei ist. </w:t>
      </w:r>
      <w:r>
        <w:rPr>
          <w:b/>
          <w:bCs/>
          <w:color w:val="1F2937"/>
          <w:sz w:val="21"/>
          <w:szCs w:val="21"/>
        </w:rPr>
        <w:t xml:space="preserve">Diese dritte Option ist die eigentliche Konkurrenz</w:t>
      </w:r>
      <w:r>
        <w:rPr>
          <w:color w:val="1F2937"/>
          <w:sz w:val="21"/>
          <w:szCs w:val="21"/>
        </w:rPr>
        <w:t xml:space="preserve"> und wird in Lehrbuchdarstellungen regelmäßig übersehen — sie ist deshalb als eigene Antwortoption im Fragebogen abgebildet.</w:t>
      </w:r>
    </w:p>
    <w:p>
      <w:pPr>
        <w:pStyle w:val="ListParagraph"/>
        <w:numPr>
          <w:ilvl w:val="0"/>
          <w:numId w:val="2"/>
        </w:numPr>
        <w:spacing w:after="90" w:line="288"/>
      </w:pPr>
      <w:r>
        <w:rPr>
          <w:b/>
          <w:bCs/>
          <w:color w:val="1F2937"/>
          <w:sz w:val="21"/>
          <w:szCs w:val="21"/>
        </w:rPr>
        <w:t xml:space="preserve">Kaufentscheidung:</w:t>
      </w:r>
      <w:r>
        <w:rPr>
          <w:color w:val="1F2937"/>
          <w:sz w:val="21"/>
          <w:szCs w:val="21"/>
        </w:rPr>
        <w:t xml:space="preserve"> in der App oder über die Website; über iOS mit Aufschlag.</w:t>
      </w:r>
    </w:p>
    <w:p>
      <w:pPr>
        <w:pStyle w:val="ListParagraph"/>
        <w:numPr>
          <w:ilvl w:val="0"/>
          <w:numId w:val="2"/>
        </w:numPr>
        <w:spacing w:after="90" w:line="288"/>
      </w:pPr>
      <w:r>
        <w:rPr>
          <w:b/>
          <w:bCs/>
          <w:color w:val="1F2937"/>
          <w:sz w:val="21"/>
          <w:szCs w:val="21"/>
        </w:rPr>
        <w:t xml:space="preserve">Nachkaufverhalten:</w:t>
      </w:r>
      <w:r>
        <w:rPr>
          <w:color w:val="1F2937"/>
          <w:sz w:val="21"/>
          <w:szCs w:val="21"/>
        </w:rPr>
        <w:t xml:space="preserve"> Ob Hörbuchkontingent und personalisierte Formate tatsächlich genutzt werden, entscheidet, ob der Preis als gerechtfertigt empfunden wird — der Ansatzpunkt für eine Handlungsempfehlung.</w:t>
      </w:r>
    </w:p>
    <w:p>
      <w:pPr>
        <w:pStyle w:val="Heading2"/>
        <w:spacing w:after="120" w:before="280"/>
      </w:pPr>
      <w:r>
        <w:rPr>
          <w:rFonts w:ascii="Calibri" w:cs="Calibri" w:eastAsia="Calibri" w:hAnsi="Calibri"/>
          <w:b/>
          <w:bCs/>
          <w:color w:val="1B5E43"/>
          <w:sz w:val="24"/>
          <w:szCs w:val="24"/>
        </w:rPr>
        <w:t xml:space="preserve">4.9 Segmentierung und Fokussegment</w:t>
      </w:r>
    </w:p>
    <w:p>
      <w:pPr>
        <w:spacing w:after="140" w:line="288"/>
      </w:pPr>
      <w:r>
        <w:rPr>
          <w:color w:val="1F2937"/>
          <w:sz w:val="21"/>
          <w:szCs w:val="21"/>
        </w:rPr>
        <w:t xml:space="preserve">Kotler und Armstrong unterscheiden vier Gruppen von Segmentierungsvariablen. Angewandt auf Spotify:</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638"/>
        <w:gridCol w:w="6072"/>
        <w:gridCol w:w="1928"/>
      </w:tblGrid>
      <w:tr>
        <w:trPr>
          <w:tblHeader/>
        </w:trPr>
        <w:tc>
          <w:tcPr>
            <w:tcW w:type="dxa" w:w="163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Variablengruppe</w:t>
            </w:r>
          </w:p>
        </w:tc>
        <w:tc>
          <w:tcPr>
            <w:tcW w:type="dxa" w:w="607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Ausgestaltung bei Spotify</w:t>
            </w:r>
          </w:p>
        </w:tc>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Beleg</w:t>
            </w:r>
          </w:p>
        </w:tc>
      </w:tr>
      <w:tr>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Geografisch</w:t>
            </w:r>
          </w:p>
        </w:tc>
        <w:tc>
          <w:tcPr>
            <w:tcW w:type="dxa" w:w="6072"/>
            <w:tcMar>
              <w:top w:type="dxa" w:w="60"/>
              <w:left w:type="dxa" w:w="110"/>
              <w:bottom w:type="dxa" w:w="60"/>
              <w:right w:type="dxa" w:w="110"/>
            </w:tcMar>
            <w:vAlign w:val="top"/>
          </w:tcPr>
          <w:p>
            <w:pPr>
              <w:spacing w:after="40" w:before="40" w:line="264"/>
            </w:pPr>
            <w:r>
              <w:rPr>
                <w:b w:val="false"/>
                <w:bCs w:val="false"/>
                <w:color w:val="1F2937"/>
                <w:sz w:val="17"/>
                <w:szCs w:val="17"/>
              </w:rPr>
              <w:t xml:space="preserve">Reife Märkte (Europa 36 %, Nordamerika 25 % der Premium-Abos) gegenüber Wachstumsmärkten (Lateinamerika 24 %, übrige Welt 15 %); länderspezifische Preise, in einzelnen Märkten eigene Tarifstufen</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Q2 2026</w:t>
            </w:r>
          </w:p>
        </w:tc>
      </w:tr>
      <w:tr>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Demografisch</w:t>
            </w:r>
          </w:p>
        </w:tc>
        <w:tc>
          <w:tcPr>
            <w:tcW w:type="dxa" w:w="6072"/>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Lebensphase ist die Leitvariable</w:t>
            </w:r>
            <w:r>
              <w:rPr>
                <w:b w:val="false"/>
                <w:bCs w:val="false"/>
                <w:color w:val="1F2937"/>
                <w:sz w:val="17"/>
                <w:szCs w:val="17"/>
              </w:rPr>
              <w:t xml:space="preserve">, operationalisiert über die Tarifarchitektur: Studierende 6,99 €, Einzelperson 12,99 €, Paar 17,99 €, Haushalt mit bis zu sechs Konten 21,99 €</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spotify.com/de, 24.08.2026</w:t>
            </w:r>
          </w:p>
        </w:tc>
      </w:tr>
      <w:tr>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Psychografisch</w:t>
            </w:r>
          </w:p>
        </w:tc>
        <w:tc>
          <w:tcPr>
            <w:tcW w:type="dxa" w:w="6072"/>
            <w:tcMar>
              <w:top w:type="dxa" w:w="60"/>
              <w:left w:type="dxa" w:w="110"/>
              <w:bottom w:type="dxa" w:w="60"/>
              <w:right w:type="dxa" w:w="110"/>
            </w:tcMar>
            <w:vAlign w:val="top"/>
          </w:tcPr>
          <w:p>
            <w:pPr>
              <w:spacing w:after="40" w:before="40" w:line="264"/>
            </w:pPr>
            <w:r>
              <w:rPr>
                <w:b w:val="false"/>
                <w:bCs w:val="false"/>
                <w:color w:val="1F2937"/>
                <w:sz w:val="17"/>
                <w:szCs w:val="17"/>
              </w:rPr>
              <w:t xml:space="preserve">Musik als Identitäts- und Ausdrucksmittel; Jahresrückblick, gemeinsame Sessions und geteilte Playlists adressieren Interessen und soziale Selbstdarstellung</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Kotler/Armstrong 2020; Spotify Investor Day 2026</w:t>
            </w:r>
          </w:p>
        </w:tc>
      </w:tr>
      <w:tr>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Verhaltensorientiert</w:t>
            </w:r>
          </w:p>
        </w:tc>
        <w:tc>
          <w:tcPr>
            <w:tcW w:type="dxa" w:w="607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Nutzerstatus (Free/Premium), Nutzungsrate und </w:t>
            </w:r>
            <w:r>
              <w:rPr>
                <w:b/>
                <w:bCs/>
                <w:color w:val="1F2937"/>
                <w:sz w:val="17"/>
                <w:szCs w:val="17"/>
              </w:rPr>
              <w:t xml:space="preserve">Anlässe</w:t>
            </w:r>
            <w:r>
              <w:rPr>
                <w:b w:val="false"/>
                <w:bCs w:val="false"/>
                <w:color w:val="1F2937"/>
                <w:sz w:val="17"/>
                <w:szCs w:val="17"/>
              </w:rPr>
              <w:t xml:space="preserve"> — situationsbezogene Formate segmentieren nach Situation statt nach Person</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Newsroom 2025/2026</w:t>
            </w:r>
          </w:p>
        </w:tc>
      </w:tr>
    </w:tbl>
    <w:p>
      <w:pPr>
        <w:spacing w:after="140"/>
      </w:pPr>
    </w:p>
    <w:p>
      <w:pPr>
        <w:spacing w:after="140" w:line="288"/>
      </w:pPr>
      <w:r>
        <w:rPr>
          <w:b/>
          <w:bCs/>
          <w:color w:val="1F2937"/>
          <w:sz w:val="21"/>
          <w:szCs w:val="21"/>
        </w:rPr>
        <w:t xml:space="preserve">Prüfung an den Anforderungen an brauchbare Segmente</w:t>
      </w:r>
      <w:r>
        <w:rPr>
          <w:color w:val="1F2937"/>
          <w:sz w:val="21"/>
          <w:szCs w:val="21"/>
        </w:rPr>
        <w:t xml:space="preserve"> (messbar, verhaltensrelevant, zugänglich, klar differenzierbar, stabil, ökonomisch sinnvoll): Verhaltensdaten erfüllen in einem digitalen Dienst alle sechs Kriterien nahezu perfekt — Spotify misst Nutzung lückenlos und kann jedes Segment ohne Streuverlust direkt in der App ansprechen. Das ist der strukturelle Vorteil digitaler Geschäftsmodelle gegenüber klassischen Konsumgütermärkten und gehört als eigener Gedanke in den Bericht.</w:t>
      </w:r>
    </w:p>
    <w:p>
      <w:pPr>
        <w:spacing w:after="120"/>
      </w:pP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928"/>
        <w:gridCol w:w="3855"/>
        <w:gridCol w:w="3855"/>
      </w:tblGrid>
      <w:tr>
        <w:trPr>
          <w:tblHeader/>
        </w:trPr>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Kriterium</w:t>
            </w:r>
          </w:p>
        </w:tc>
        <w:tc>
          <w:tcPr>
            <w:tcW w:type="dxa" w:w="385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Arbeitssegmente</w:t>
            </w:r>
          </w:p>
        </w:tc>
        <w:tc>
          <w:tcPr>
            <w:tcW w:type="dxa" w:w="385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Strategische Bedeutung</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Tarif und Zahlungsrolle</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Free; Premium selbstzahlend; Premium mitzahlend; Premium fremdfinanziert</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Preis- und Verlängerungsfragen nur bei tatsächlicher Entscheidungsrolle stellen.</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Lebensphase</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Studium und Ausbildung; frühe Berufstätigkeit; Haushalt und Partnerschaft</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Passung zu Studierenden-, Individual-, Duo- und Familientarif.</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Nutzungsintensität</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Gelegenheits-, Alltags- und Intensivnutzung</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Bestimmt den Wert von Offline-, Geräte- und Personalisierungsfunktionen.</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Motiv</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Entdeckung; Komfort; Situationsbegleitung; soziale Nutzung</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Unterschiedliche Produkt- und Kommunikationsargumente.</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Sensibilität</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preis-, werbe- und wechselorientiert</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Balance zwischen Monetarisierung und Abwanderung.</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Multi-Homing</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primär; parallele Nutzung; wechselbereit</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Der Wettbewerb geht um die primäre Hörzeit, nicht um die Kontoeröffnung.</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Fokussegment:</w:t>
            </w:r>
            <w:r>
              <w:rPr>
                <w:color w:val="1F2937"/>
                <w:sz w:val="19"/>
                <w:szCs w:val="19"/>
              </w:rPr>
              <w:t xml:space="preserve"> 18- bis 34-jährige Spotify-Free-Nutzende in Deutschland, die mindestens wöchentlich streamen. Selbstzahlende Premium-Nutzende dienen als Vergleichsgruppe. Die Auswahl ist inhaltlich begründet — dort fällt die Zahlungsentscheidung, und dort liegt das verbleibende Marktpotenzial —, bleibt bei einer Hochschulstichprobe aber ausdrücklich nicht repräsentativ.</w:t>
            </w:r>
          </w:p>
        </w:tc>
      </w:tr>
    </w:tbl>
    <w:p>
      <w:pPr>
        <w:pStyle w:val="Heading2"/>
        <w:spacing w:after="120" w:before="280"/>
      </w:pPr>
      <w:r>
        <w:rPr>
          <w:rFonts w:ascii="Calibri" w:cs="Calibri" w:eastAsia="Calibri" w:hAnsi="Calibri"/>
          <w:b/>
          <w:bCs/>
          <w:color w:val="1B5E43"/>
          <w:sz w:val="24"/>
          <w:szCs w:val="24"/>
        </w:rPr>
        <w:t xml:space="preserve">4.10 Drei prüfbare Persona-Hypothesen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120"/>
        <w:gridCol w:w="2506"/>
        <w:gridCol w:w="2891"/>
        <w:gridCol w:w="2121"/>
      </w:tblGrid>
      <w:tr>
        <w:trPr>
          <w:tblHeader/>
        </w:trPr>
        <w:tc>
          <w:tcPr>
            <w:tcW w:type="dxa" w:w="212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Persona-Hypothese</w:t>
            </w:r>
          </w:p>
        </w:tc>
        <w:tc>
          <w:tcPr>
            <w:tcW w:type="dxa" w:w="250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Job-to-be-done</w:t>
            </w:r>
          </w:p>
        </w:tc>
        <w:tc>
          <w:tcPr>
            <w:tcW w:type="dxa" w:w="289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Konversions- und Bindungstreiber</w:t>
            </w:r>
          </w:p>
        </w:tc>
        <w:tc>
          <w:tcPr>
            <w:tcW w:type="dxa" w:w="2121"/>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Risiko</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Preisbewusste:r Free Explorer</w:t>
            </w:r>
          </w:p>
        </w:tc>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Neue Musik schnell und ohne Zahlung entdecken</w:t>
            </w:r>
          </w:p>
        </w:tc>
        <w:tc>
          <w:tcPr>
            <w:tcW w:type="dxa" w:w="2891"/>
            <w:tcMar>
              <w:top w:type="dxa" w:w="60"/>
              <w:left w:type="dxa" w:w="110"/>
              <w:bottom w:type="dxa" w:w="60"/>
              <w:right w:type="dxa" w:w="110"/>
            </w:tcMar>
            <w:vAlign w:val="top"/>
          </w:tcPr>
          <w:p>
            <w:pPr>
              <w:spacing w:after="40" w:before="40" w:line="264"/>
            </w:pPr>
            <w:r>
              <w:rPr>
                <w:b w:val="false"/>
                <w:bCs w:val="false"/>
                <w:color w:val="1F2937"/>
                <w:sz w:val="17"/>
                <w:szCs w:val="17"/>
              </w:rPr>
              <w:t xml:space="preserve">Passender Preis, freie Auswahl, weniger Unterbrechung, Probezeitraum</w:t>
            </w:r>
          </w:p>
        </w:tc>
        <w:tc>
          <w:tcPr>
            <w:tcW w:type="dxa" w:w="2121"/>
            <w:tcMar>
              <w:top w:type="dxa" w:w="60"/>
              <w:left w:type="dxa" w:w="110"/>
              <w:bottom w:type="dxa" w:w="60"/>
              <w:right w:type="dxa" w:w="110"/>
            </w:tcMar>
            <w:vAlign w:val="top"/>
          </w:tcPr>
          <w:p>
            <w:pPr>
              <w:spacing w:after="40" w:before="40" w:line="264"/>
            </w:pPr>
            <w:r>
              <w:rPr>
                <w:b w:val="false"/>
                <w:bCs w:val="false"/>
                <w:color w:val="1F2937"/>
                <w:sz w:val="17"/>
                <w:szCs w:val="17"/>
              </w:rPr>
              <w:t xml:space="preserve">Wechselt zu YouTube oder bleibt dauerhaft kostenlos</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Premium-Alltagsnutzer:in</w:t>
            </w:r>
          </w:p>
        </w:tc>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Ohne Aufwand passende Musik für Alltag und Aktivitäten</w:t>
            </w:r>
          </w:p>
        </w:tc>
        <w:tc>
          <w:tcPr>
            <w:tcW w:type="dxa" w:w="289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Personalisierung, Offline-Nutzung, Gerätewechsel, störungsfreies Hören</w:t>
            </w:r>
          </w:p>
        </w:tc>
        <w:tc>
          <w:tcPr>
            <w:tcW w:type="dxa" w:w="2121"/>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Preiserhöhung oder sinkende Empfehlungsqualität</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Haushaltsorganisator:in</w:t>
            </w:r>
          </w:p>
        </w:tc>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Mehrere Personen bequem und fair versorgen</w:t>
            </w:r>
          </w:p>
        </w:tc>
        <w:tc>
          <w:tcPr>
            <w:tcW w:type="dxa" w:w="2891"/>
            <w:tcMar>
              <w:top w:type="dxa" w:w="60"/>
              <w:left w:type="dxa" w:w="110"/>
              <w:bottom w:type="dxa" w:w="60"/>
              <w:right w:type="dxa" w:w="110"/>
            </w:tcMar>
            <w:vAlign w:val="top"/>
          </w:tcPr>
          <w:p>
            <w:pPr>
              <w:spacing w:after="40" w:before="40" w:line="264"/>
            </w:pPr>
            <w:r>
              <w:rPr>
                <w:b w:val="false"/>
                <w:bCs w:val="false"/>
                <w:color w:val="1F2937"/>
                <w:sz w:val="17"/>
                <w:szCs w:val="17"/>
              </w:rPr>
              <w:t xml:space="preserve">Passung des Duo- und Familientarifs, Verwaltung, klare Kostenverteilung</w:t>
            </w:r>
          </w:p>
        </w:tc>
        <w:tc>
          <w:tcPr>
            <w:tcW w:type="dxa" w:w="2121"/>
            <w:tcMar>
              <w:top w:type="dxa" w:w="60"/>
              <w:left w:type="dxa" w:w="110"/>
              <w:bottom w:type="dxa" w:w="60"/>
              <w:right w:type="dxa" w:w="110"/>
            </w:tcMar>
            <w:vAlign w:val="top"/>
          </w:tcPr>
          <w:p>
            <w:pPr>
              <w:spacing w:after="40" w:before="40" w:line="264"/>
            </w:pPr>
            <w:r>
              <w:rPr>
                <w:b w:val="false"/>
                <w:bCs w:val="false"/>
                <w:color w:val="1F2937"/>
                <w:sz w:val="17"/>
                <w:szCs w:val="17"/>
              </w:rPr>
              <w:t xml:space="preserve">Kaufende und Nutzende werden analytisch vermischt</w:t>
            </w:r>
          </w:p>
        </w:tc>
      </w:tr>
    </w:tbl>
    <w:p>
      <w:pPr>
        <w:spacing w:after="140"/>
      </w:pPr>
    </w:p>
    <w:p>
      <w:pPr>
        <w:spacing w:after="160" w:line="276"/>
      </w:pPr>
      <w:r>
        <w:rPr>
          <w:i/>
          <w:iCs/>
          <w:color w:val="5B6470"/>
          <w:sz w:val="18"/>
          <w:szCs w:val="18"/>
        </w:rPr>
        <w:t xml:space="preserve">Die Personas sind keine Ergebnisse, sondern Hypothesen. Sie müssen durch die Befragung, Interviews oder Sekundärstudien bestätigt, verändert oder verworfen werden.</w:t>
      </w:r>
    </w:p>
    <w:p>
      <w:pPr>
        <w:pStyle w:val="Heading2"/>
        <w:spacing w:after="120" w:before="280"/>
      </w:pPr>
      <w:r>
        <w:rPr>
          <w:rFonts w:ascii="Calibri" w:cs="Calibri" w:eastAsia="Calibri" w:hAnsi="Calibri"/>
          <w:b/>
          <w:bCs/>
          <w:color w:val="1B5E43"/>
          <w:sz w:val="24"/>
          <w:szCs w:val="24"/>
        </w:rPr>
        <w:t xml:space="preserve">4.11 Datenlücken — offen benennen</w:t>
      </w:r>
    </w:p>
    <w:p>
      <w:pPr>
        <w:spacing w:after="140" w:line="288"/>
      </w:pPr>
      <w:r>
        <w:rPr>
          <w:color w:val="1F2937"/>
          <w:sz w:val="21"/>
          <w:szCs w:val="21"/>
        </w:rPr>
        <w:t xml:space="preserve">Dieser Absatz gehört in Kapitel 1.3 des Berichts. Bekannte Grenzen der Datenlage offenzulegen ist kein Eingeständnis von Schwäche, sondern erfüllt das Kriterium „kritischer Umgang mit Quellen".</w:t>
      </w:r>
    </w:p>
    <w:p>
      <w:pPr>
        <w:pStyle w:val="ListParagraph"/>
        <w:numPr>
          <w:ilvl w:val="0"/>
          <w:numId w:val="2"/>
        </w:numPr>
        <w:spacing w:after="90" w:line="288"/>
      </w:pPr>
      <w:r>
        <w:rPr>
          <w:color w:val="1F2937"/>
          <w:sz w:val="21"/>
          <w:szCs w:val="21"/>
        </w:rPr>
        <w:t xml:space="preserve">Nutzer- und Abonnentenzahlen für Deutschland: von keinem Anbieter veröffentlicht.</w:t>
      </w:r>
    </w:p>
    <w:p>
      <w:pPr>
        <w:pStyle w:val="ListParagraph"/>
        <w:numPr>
          <w:ilvl w:val="0"/>
          <w:numId w:val="2"/>
        </w:numPr>
        <w:spacing w:after="90" w:line="288"/>
      </w:pPr>
      <w:r>
        <w:rPr>
          <w:color w:val="1F2937"/>
          <w:sz w:val="21"/>
          <w:szCs w:val="21"/>
        </w:rPr>
        <w:t xml:space="preserve">Marktanteile einzelner Dienste in Deutschland: keine frei zugängliche, methodisch einheitliche Primärquelle. Verfügbar sind nur Reichweiten — und die überschneiden sich, weil viele Menschen mehrere Dienste nutzen.</w:t>
      </w:r>
    </w:p>
    <w:p>
      <w:pPr>
        <w:pStyle w:val="ListParagraph"/>
        <w:numPr>
          <w:ilvl w:val="0"/>
          <w:numId w:val="2"/>
        </w:numPr>
        <w:spacing w:after="90" w:line="288"/>
      </w:pPr>
      <w:r>
        <w:rPr>
          <w:color w:val="1F2937"/>
          <w:sz w:val="21"/>
          <w:szCs w:val="21"/>
        </w:rPr>
        <w:t xml:space="preserve">Globale Konversionsrate von Free zu Premium: unveröffentlicht; öffentlich sind nur einzelne Märkte.</w:t>
      </w:r>
    </w:p>
    <w:p>
      <w:pPr>
        <w:pStyle w:val="ListParagraph"/>
        <w:numPr>
          <w:ilvl w:val="0"/>
          <w:numId w:val="2"/>
        </w:numPr>
        <w:spacing w:after="90" w:line="288"/>
      </w:pPr>
      <w:r>
        <w:rPr>
          <w:color w:val="1F2937"/>
          <w:sz w:val="21"/>
          <w:szCs w:val="21"/>
        </w:rPr>
        <w:t xml:space="preserve">Churn-Rate: seit Jahren nicht mehr ausgewiesen.</w:t>
      </w:r>
    </w:p>
    <w:p>
      <w:pPr>
        <w:pStyle w:val="ListParagraph"/>
        <w:numPr>
          <w:ilvl w:val="0"/>
          <w:numId w:val="2"/>
        </w:numPr>
        <w:spacing w:after="90" w:line="288"/>
      </w:pPr>
      <w:r>
        <w:rPr>
          <w:color w:val="1F2937"/>
          <w:sz w:val="21"/>
          <w:szCs w:val="21"/>
        </w:rPr>
        <w:t xml:space="preserve">Exakte Grenzen des Free-Tarifs wie Tageslimit und Skip-Zahl: von Spotify nicht offiziell dokumentiert.</w:t>
      </w:r>
    </w:p>
    <w:p>
      <w:pPr>
        <w:spacing w:after="120"/>
      </w:pPr>
    </w:p>
    <w:p>
      <w:pPr>
        <w:spacing w:after="140" w:line="288"/>
      </w:pPr>
      <w:r>
        <w:rPr>
          <w:b/>
          <w:bCs/>
          <w:color w:val="1F2937"/>
          <w:sz w:val="21"/>
          <w:szCs w:val="21"/>
        </w:rPr>
        <w:t xml:space="preserve">Daraus folgt die Begründung für eine eigene Erhebung.</w:t>
      </w:r>
      <w:r>
        <w:rPr>
          <w:color w:val="1F2937"/>
          <w:sz w:val="21"/>
          <w:szCs w:val="21"/>
        </w:rPr>
        <w:t xml:space="preserve"> Die Frage, wie 18- bis 34-Jährige auf den Preisaufschlag reagieren, lässt sich aus Sekundärdaten nicht beantworten. Der Leitfaden verlangt ausdrücklich, vor jeder Primärerhebung zuerst die Sekundärquellen auszuschöpfen — dieser Abschnitt belegt, dass das geschehen ist.</w:t>
      </w:r>
    </w:p>
    <w:p>
      <w:pPr>
        <w:pStyle w:val="Heading2"/>
        <w:spacing w:after="120" w:before="280"/>
      </w:pPr>
      <w:r>
        <w:rPr>
          <w:rFonts w:ascii="Calibri" w:cs="Calibri" w:eastAsia="Calibri" w:hAnsi="Calibri"/>
          <w:b/>
          <w:bCs/>
          <w:color w:val="1B5E43"/>
          <w:sz w:val="24"/>
          <w:szCs w:val="24"/>
        </w:rPr>
        <w:t xml:space="preserve">4.12 Zwischenfazit für Strategie und Marketingprogramm</w:t>
      </w:r>
    </w:p>
    <w:p>
      <w:pPr>
        <w:pStyle w:val="ListParagraph"/>
        <w:numPr>
          <w:ilvl w:val="0"/>
          <w:numId w:val="2"/>
        </w:numPr>
        <w:spacing w:after="90" w:line="288"/>
      </w:pPr>
      <w:r>
        <w:rPr>
          <w:b/>
          <w:bCs/>
          <w:color w:val="1F2937"/>
          <w:sz w:val="21"/>
          <w:szCs w:val="21"/>
        </w:rPr>
        <w:t xml:space="preserve">Strategie:</w:t>
      </w:r>
      <w:r>
        <w:rPr>
          <w:color w:val="1F2937"/>
          <w:sz w:val="21"/>
          <w:szCs w:val="21"/>
        </w:rPr>
        <w:t xml:space="preserve"> nicht „alle jungen Nutzenden" adressieren, sondern Free-Nutzende mit erkennbarem Nutzungsfit und realistischer Zahlungsrolle priorisieren.</w:t>
      </w:r>
    </w:p>
    <w:p>
      <w:pPr>
        <w:pStyle w:val="ListParagraph"/>
        <w:numPr>
          <w:ilvl w:val="0"/>
          <w:numId w:val="2"/>
        </w:numPr>
        <w:spacing w:after="90" w:line="288"/>
      </w:pPr>
      <w:r>
        <w:rPr>
          <w:b/>
          <w:bCs/>
          <w:color w:val="1F2937"/>
          <w:sz w:val="21"/>
          <w:szCs w:val="21"/>
        </w:rPr>
        <w:t xml:space="preserve">Product:</w:t>
      </w:r>
      <w:r>
        <w:rPr>
          <w:color w:val="1F2937"/>
          <w:sz w:val="21"/>
          <w:szCs w:val="21"/>
        </w:rPr>
        <w:t xml:space="preserve"> Der Premium-Zusatznutzen muss in konkreten Nutzungssituationen erlebbar sein. Personalisierung und Kontrolle sind keine Features, sondern Wertbeiträge — und der einzige Kandidat für wahrgenommene Markenunterschiede.</w:t>
      </w:r>
    </w:p>
    <w:p>
      <w:pPr>
        <w:pStyle w:val="ListParagraph"/>
        <w:numPr>
          <w:ilvl w:val="0"/>
          <w:numId w:val="2"/>
        </w:numPr>
        <w:spacing w:after="90" w:line="288"/>
      </w:pPr>
      <w:r>
        <w:rPr>
          <w:b/>
          <w:bCs/>
          <w:color w:val="1F2937"/>
          <w:sz w:val="21"/>
          <w:szCs w:val="21"/>
        </w:rPr>
        <w:t xml:space="preserve">Price:</w:t>
      </w:r>
      <w:r>
        <w:rPr>
          <w:color w:val="1F2937"/>
          <w:sz w:val="21"/>
          <w:szCs w:val="21"/>
        </w:rPr>
        <w:t xml:space="preserve"> Eigenanteil, Tarifrolle und Fairness getrennt betrachten. Haushaltstarife dürfen nicht wie Individualtarife analysiert werden, und der Referenzpreis der Zielgruppe liegt unter dem Listenpreis.</w:t>
      </w:r>
    </w:p>
    <w:p>
      <w:pPr>
        <w:pStyle w:val="ListParagraph"/>
        <w:numPr>
          <w:ilvl w:val="0"/>
          <w:numId w:val="2"/>
        </w:numPr>
        <w:spacing w:after="90" w:line="288"/>
      </w:pPr>
      <w:r>
        <w:rPr>
          <w:b/>
          <w:bCs/>
          <w:color w:val="1F2937"/>
          <w:sz w:val="21"/>
          <w:szCs w:val="21"/>
        </w:rPr>
        <w:t xml:space="preserve">Place:</w:t>
      </w:r>
      <w:r>
        <w:rPr>
          <w:color w:val="1F2937"/>
          <w:sz w:val="21"/>
          <w:szCs w:val="21"/>
        </w:rPr>
        <w:t xml:space="preserve"> Geräte- und Partnerintegration erhöht Verfügbarkeit und schafft Bündelwerte, erzeugt aber über App-Store-Provisionen eine strukturelle Abhängigkeit.</w:t>
      </w:r>
    </w:p>
    <w:p>
      <w:pPr>
        <w:pStyle w:val="ListParagraph"/>
        <w:numPr>
          <w:ilvl w:val="0"/>
          <w:numId w:val="2"/>
        </w:numPr>
        <w:spacing w:after="90" w:line="288"/>
      </w:pPr>
      <w:r>
        <w:rPr>
          <w:b/>
          <w:bCs/>
          <w:color w:val="1F2937"/>
          <w:sz w:val="21"/>
          <w:szCs w:val="21"/>
        </w:rPr>
        <w:t xml:space="preserve">Promotion:</w:t>
      </w:r>
      <w:r>
        <w:rPr>
          <w:color w:val="1F2937"/>
          <w:sz w:val="21"/>
          <w:szCs w:val="21"/>
        </w:rPr>
        <w:t xml:space="preserve"> Friktion im Free-Tarif kann Konversion anstoßen und zugleich Abwanderung fördern. Ob der Nettoeffekt positiv ist, ist eine empirische Frage — H3a gegen H3b.</w:t>
      </w:r>
    </w:p>
    <w:p>
      <w:pPr>
        <w:pStyle w:val="Heading1"/>
        <w:pBdr>
          <w:bottom w:val="single" w:color="1B5E43" w:sz="8" w:space="6"/>
        </w:pBdr>
        <w:spacing w:after="180" w:before="400"/>
      </w:pPr>
      <w:r>
        <w:rPr>
          <w:rFonts w:ascii="Calibri" w:cs="Calibri" w:eastAsia="Calibri" w:hAnsi="Calibri"/>
          <w:b/>
          <w:bCs/>
          <w:color w:val="1F2937"/>
          <w:sz w:val="30"/>
          <w:szCs w:val="30"/>
        </w:rPr>
        <w:t xml:space="preserve">5. Modellbezug im Marketingprogramm</w:t>
      </w:r>
    </w:p>
    <w:p>
      <w:pPr>
        <w:spacing w:after="140" w:line="288"/>
      </w:pPr>
      <w:r>
        <w:rPr>
          <w:color w:val="1F2937"/>
          <w:sz w:val="21"/>
          <w:szCs w:val="21"/>
        </w:rPr>
        <w:t xml:space="preserve">Arbeitsstand 1 hat Kapitel 5 inhaltlich richtig zugeschnitten, aber Themen statt Methoden benannt. Der Leitfaden verlangt jedoch ausdrücklich, „dass die in den Vorlesungen behandelten Methoden und Techniken angewendet werden". Die folgende Tabelle legt je Instrument fest, welches Modell aus der Originalliteratur angewandt wird, worauf es bei Spotify trifft und welcher Beleg dafür gebraucht wird. Sie ist die Arbeitsvorlage für Kapitel 5 des Berichts.</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349"/>
        <w:gridCol w:w="2506"/>
        <w:gridCol w:w="3855"/>
        <w:gridCol w:w="1928"/>
      </w:tblGrid>
      <w:tr>
        <w:trPr>
          <w:tblHeader/>
        </w:trPr>
        <w:tc>
          <w:tcPr>
            <w:tcW w:type="dxa" w:w="1349"/>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Abschnitt</w:t>
            </w:r>
          </w:p>
        </w:tc>
        <w:tc>
          <w:tcPr>
            <w:tcW w:type="dxa" w:w="250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Modell (Originalliteratur)</w:t>
            </w:r>
          </w:p>
        </w:tc>
        <w:tc>
          <w:tcPr>
            <w:tcW w:type="dxa" w:w="385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Anwendung auf Spotify</w:t>
            </w:r>
          </w:p>
        </w:tc>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Benötigter Beleg</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5.1 Product</w:t>
            </w:r>
          </w:p>
        </w:tc>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Sechs Ebenen des Produktnutzens (Homburg); Programmbreite und -tiefe; horizontale und laterale Diversifikation; Produktlebenszyklus</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Der Musikkatalog ist Grundnutzen und austauschbar. Personalisierung, Bibliothek und Empfehlungsqualität liegen auf den höheren Nutzenebenen — dort entsteht der Aufpreis. Hörbuch, Podcast und Video sind Programmerweiterung, nicht Kernleistung.</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Homburg mit Seitenzahl; Katalog- und Formatzahlen aus dem 20-F beziehungsweise dem 6-K</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5.2 Price [Vertiefung]</w:t>
            </w:r>
          </w:p>
        </w:tc>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Formen der Preisdifferenzierung (Meffert et al.); Preis-Absatz-Funktion und Preiselastizität; verhaltensorientierte Preisbildung: Referenzpreis, Preisschwellen, preisabhängige Qualitätsbeurteilung</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Freemium als Preisdifferenzierung nach Leistungsumfang; Studierenden-, Duo- und Familientarif als Differenzierung nach Personenmerkmal und Menge. Der Referenzpreis der Zielgruppe (11,20 €) liegt unter dem Listenpreis (12,99 €) — das ist die eigentliche Preisfrage der Arbeit.</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Meffert et al. mit Seitenzahl; Bitkom für den Referenzpreis; Preistabelle 4.6; ARPU-Reihe aus den SEC-Einreichungen</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5.3 Place</w:t>
            </w:r>
          </w:p>
        </w:tc>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Direkter versus indirekter Vertrieb; Kanalbreite; Omni-Channel</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Reiner Direktvertrieb über eigene App und Web — mit der strukturellen Einschränkung, dass der Zugang über fremde App-Stores läuft und Provisionen die Marge belasten. Geräte-, Telekom- und Zahlungspartner erweitern die Kanalbreite.</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Kotler/Armstrong oder Homburg mit Seitenzahl; Risikoabschnitt des 20-F zu Plattformabhängigkeit</w:t>
            </w:r>
          </w:p>
        </w:tc>
      </w:tr>
      <w:tr>
        <w:tc>
          <w:tcPr>
            <w:tcW w:type="dxa" w:w="1349"/>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5.4 Promotion</w:t>
            </w:r>
          </w:p>
        </w:tc>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Push- und Pull-Strategie; zweistufiger Kommunikationsfluss; Hierarchy-of-Effects; Online-KPI zur Erfolgsmessung</w:t>
            </w:r>
          </w:p>
        </w:tc>
        <w:tc>
          <w:tcPr>
            <w:tcW w:type="dxa" w:w="385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Nutzergenerierte Reichweite (geteilte Jahresrückblicke, Playlists) ist eine Pull-Strategie mit zweistufigem Kommunikationsfluss: Nutzende werden zu Meinungsführern. In-App-Ansprache und Probezeiträume wirken auf den unteren Stufen der Hierarchy-of-Effects — sie setzen Bekanntheit voraus und zielen auf Handlung.</w:t>
            </w:r>
          </w:p>
        </w:tc>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Kotler/Armstrong mit Seitenzahl; eigene Beobachtung der In-App-Kommunikation, datiert und dokumentiert</w:t>
            </w:r>
          </w:p>
        </w:tc>
      </w:tr>
      <w:tr>
        <w:tc>
          <w:tcPr>
            <w:tcW w:type="dxa" w:w="1349"/>
            <w:tcMar>
              <w:top w:type="dxa" w:w="60"/>
              <w:left w:type="dxa" w:w="110"/>
              <w:bottom w:type="dxa" w:w="60"/>
              <w:right w:type="dxa" w:w="110"/>
            </w:tcMar>
            <w:vAlign w:val="top"/>
          </w:tcPr>
          <w:p>
            <w:pPr>
              <w:spacing w:after="40" w:before="40" w:line="264"/>
            </w:pPr>
            <w:r>
              <w:rPr>
                <w:b w:val="false"/>
                <w:bCs w:val="false"/>
                <w:color w:val="1F2937"/>
                <w:sz w:val="17"/>
                <w:szCs w:val="17"/>
              </w:rPr>
              <w:t xml:space="preserve">5.5 Konsistenz</w:t>
            </w:r>
          </w:p>
        </w:tc>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Instrumentelle Abstimmung im Marketing-Mix</w:t>
            </w:r>
          </w:p>
        </w:tc>
        <w:tc>
          <w:tcPr>
            <w:tcW w:type="dxa" w:w="3855"/>
            <w:tcMar>
              <w:top w:type="dxa" w:w="60"/>
              <w:left w:type="dxa" w:w="110"/>
              <w:bottom w:type="dxa" w:w="60"/>
              <w:right w:type="dxa" w:w="110"/>
            </w:tcMar>
            <w:vAlign w:val="top"/>
          </w:tcPr>
          <w:p>
            <w:pPr>
              <w:spacing w:after="40" w:before="40" w:line="264"/>
            </w:pPr>
            <w:r>
              <w:rPr>
                <w:b w:val="false"/>
                <w:bCs w:val="false"/>
                <w:color w:val="1F2937"/>
                <w:sz w:val="17"/>
                <w:szCs w:val="17"/>
              </w:rPr>
              <w:t xml:space="preserve">Der Zielkonflikt ist benennbar: Werbeintrusivität als Konversionshebel (Promotion) arbeitet gegen den wahrgenommenen Gesamtwert (Product) und gegen die Preisfairness (Price). Das ist die Stelle für eigene Bewertung statt Beschreibung.</w:t>
            </w:r>
          </w:p>
        </w:tc>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Ergebnisse aus H3a und H3b; Riedel et al. 2025, 322–341</w:t>
            </w:r>
          </w:p>
        </w:tc>
      </w:tr>
    </w:tbl>
    <w:p>
      <w:pPr>
        <w:spacing w:after="16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Regel für Kapitel 5:</w:t>
            </w:r>
            <w:r>
              <w:rPr>
                <w:color w:val="1F2937"/>
                <w:sz w:val="19"/>
                <w:szCs w:val="19"/>
              </w:rPr>
              <w:t xml:space="preserve"> Jeder Abschnitt nennt das Modell, wendet es an und zieht eine eigene Schlussfolgerung. Ein Absatz, der nur beschreibt, was Spotify tut, ist im Bewertungsblock „Eigenständige Leistung" wertlos — auch wenn er sachlich richtig ist.</w:t>
            </w:r>
          </w:p>
        </w:tc>
      </w:tr>
    </w:tbl>
    <w:p>
      <w:pPr>
        <w:pStyle w:val="Heading1"/>
        <w:pBdr>
          <w:bottom w:val="single" w:color="1B5E43" w:sz="8" w:space="6"/>
        </w:pBdr>
        <w:spacing w:after="180" w:before="400"/>
      </w:pPr>
      <w:r>
        <w:rPr>
          <w:rFonts w:ascii="Calibri" w:cs="Calibri" w:eastAsia="Calibri" w:hAnsi="Calibri"/>
          <w:b/>
          <w:bCs/>
          <w:color w:val="1F2937"/>
          <w:sz w:val="30"/>
          <w:szCs w:val="30"/>
        </w:rPr>
        <w:t xml:space="preserve">6. Eigene Kurzbefragung</w:t>
      </w:r>
    </w:p>
    <w:p>
      <w:pPr>
        <w:spacing w:after="140" w:line="288"/>
      </w:pPr>
      <w:r>
        <w:rPr>
          <w:color w:val="1F2937"/>
          <w:sz w:val="21"/>
          <w:szCs w:val="21"/>
        </w:rPr>
        <w:t xml:space="preserve">Eine Befragung ist sinnvoll, wenn sie die Leitfrage beantwortet und in der verbleibenden Zeit methodisch sauber durchführbar ist. Sie ist explorativ, hypothesengeleitet und transparent als Gelegenheitsstichprobe zu beschreiben. Der Ertrag ist erheblich, weil die Qualität der eigenen empirischen Arbeit im Bewertungsblock „Eigenständige Leistung" mit 30 Punkten liegt.</w:t>
      </w:r>
    </w:p>
    <w:p>
      <w:pPr>
        <w:pStyle w:val="Heading2"/>
        <w:spacing w:after="120" w:before="280"/>
      </w:pPr>
      <w:r>
        <w:rPr>
          <w:rFonts w:ascii="Calibri" w:cs="Calibri" w:eastAsia="Calibri" w:hAnsi="Calibri"/>
          <w:b/>
          <w:bCs/>
          <w:color w:val="1B5E43"/>
          <w:sz w:val="24"/>
          <w:szCs w:val="24"/>
        </w:rPr>
        <w:t xml:space="preserve">6.1 Designentscheidungen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638"/>
        <w:gridCol w:w="8000"/>
      </w:tblGrid>
      <w:tr>
        <w:trPr>
          <w:tblHeader/>
        </w:trPr>
        <w:tc>
          <w:tcPr>
            <w:tcW w:type="dxa" w:w="163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Entscheidung</w:t>
            </w:r>
          </w:p>
        </w:tc>
        <w:tc>
          <w:tcPr>
            <w:tcW w:type="dxa" w:w="800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Festlegung</w:t>
            </w:r>
          </w:p>
        </w:tc>
      </w:tr>
      <w:tr>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Zielgruppe</w:t>
            </w:r>
          </w:p>
        </w:tc>
        <w:tc>
          <w:tcPr>
            <w:tcW w:type="dxa" w:w="8000"/>
            <w:tcMar>
              <w:top w:type="dxa" w:w="60"/>
              <w:left w:type="dxa" w:w="110"/>
              <w:bottom w:type="dxa" w:w="60"/>
              <w:right w:type="dxa" w:w="110"/>
            </w:tcMar>
            <w:vAlign w:val="top"/>
          </w:tcPr>
          <w:p>
            <w:pPr>
              <w:spacing w:after="40" w:before="40" w:line="264"/>
            </w:pPr>
            <w:r>
              <w:rPr>
                <w:b w:val="false"/>
                <w:bCs w:val="false"/>
                <w:color w:val="1F2937"/>
                <w:sz w:val="17"/>
                <w:szCs w:val="17"/>
              </w:rPr>
              <w:t xml:space="preserve">18–34 Jahre, Wohnsitz Deutschland, Spotify-Nutzung in den letzten drei Monaten.</w:t>
            </w:r>
          </w:p>
        </w:tc>
      </w:tr>
      <w:tr>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Gruppen</w:t>
            </w:r>
          </w:p>
        </w:tc>
        <w:tc>
          <w:tcPr>
            <w:tcW w:type="dxa" w:w="800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Free; Premium selbst- oder mitzahlend; Premium ohne Zahlungsentscheidung separat kennzeichnen.</w:t>
            </w:r>
          </w:p>
        </w:tc>
      </w:tr>
      <w:tr>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Umfang</w:t>
            </w:r>
          </w:p>
        </w:tc>
        <w:tc>
          <w:tcPr>
            <w:tcW w:type="dxa" w:w="8000"/>
            <w:tcMar>
              <w:top w:type="dxa" w:w="60"/>
              <w:left w:type="dxa" w:w="110"/>
              <w:bottom w:type="dxa" w:w="60"/>
              <w:right w:type="dxa" w:w="110"/>
            </w:tcMar>
            <w:vAlign w:val="top"/>
          </w:tcPr>
          <w:p>
            <w:pPr>
              <w:spacing w:after="40" w:before="40" w:line="264"/>
            </w:pPr>
            <w:r>
              <w:rPr>
                <w:b w:val="false"/>
                <w:bCs w:val="false"/>
                <w:color w:val="1F2937"/>
                <w:sz w:val="17"/>
                <w:szCs w:val="17"/>
              </w:rPr>
              <w:t xml:space="preserve">5–8 Minuten; rund 25 Kernitems plus Screening, Verhalten und Demografie; Verzweigungslogik nutzen.</w:t>
            </w:r>
          </w:p>
        </w:tc>
      </w:tr>
      <w:tr>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Stichprobe</w:t>
            </w:r>
          </w:p>
        </w:tc>
        <w:tc>
          <w:tcPr>
            <w:tcW w:type="dxa" w:w="800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Ziel n ≈ 120 verwertbar, davon mindestens 50 Free-Nutzende. Bei kleinerem n nur deskriptiv und explorativ auswerten.</w:t>
            </w:r>
          </w:p>
        </w:tc>
      </w:tr>
      <w:tr>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Rekrutierung</w:t>
            </w:r>
          </w:p>
        </w:tc>
        <w:tc>
          <w:tcPr>
            <w:tcW w:type="dxa" w:w="8000"/>
            <w:tcMar>
              <w:top w:type="dxa" w:w="60"/>
              <w:left w:type="dxa" w:w="110"/>
              <w:bottom w:type="dxa" w:w="60"/>
              <w:right w:type="dxa" w:w="110"/>
            </w:tcMar>
            <w:vAlign w:val="top"/>
          </w:tcPr>
          <w:p>
            <w:pPr>
              <w:spacing w:after="40" w:before="40" w:line="264"/>
            </w:pPr>
            <w:r>
              <w:rPr>
                <w:b w:val="false"/>
                <w:bCs w:val="false"/>
                <w:color w:val="1F2937"/>
                <w:sz w:val="17"/>
                <w:szCs w:val="17"/>
              </w:rPr>
              <w:t xml:space="preserve">Mehrere Kanäle und Lebensphasen, nicht nur eine Lehrveranstaltung. Selbstselektion offenlegen.</w:t>
            </w:r>
          </w:p>
        </w:tc>
      </w:tr>
      <w:tr>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Pretest</w:t>
            </w:r>
          </w:p>
        </w:tc>
        <w:tc>
          <w:tcPr>
            <w:tcW w:type="dxa" w:w="800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Kognitiver Test mit 5–8 Personen, danach technischer Pilot mit 10–15 Fällen.</w:t>
            </w:r>
          </w:p>
        </w:tc>
      </w:tr>
      <w:tr>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Analyse</w:t>
            </w:r>
          </w:p>
        </w:tc>
        <w:tc>
          <w:tcPr>
            <w:tcW w:type="dxa" w:w="8000"/>
            <w:tcMar>
              <w:top w:type="dxa" w:w="60"/>
              <w:left w:type="dxa" w:w="110"/>
              <w:bottom w:type="dxa" w:w="60"/>
              <w:right w:type="dxa" w:w="110"/>
            </w:tcMar>
            <w:vAlign w:val="top"/>
          </w:tcPr>
          <w:p>
            <w:pPr>
              <w:spacing w:after="40" w:before="40" w:line="264"/>
            </w:pPr>
            <w:r>
              <w:rPr>
                <w:b w:val="false"/>
                <w:bCs w:val="false"/>
                <w:color w:val="1F2937"/>
                <w:sz w:val="17"/>
                <w:szCs w:val="17"/>
              </w:rPr>
              <w:t xml:space="preserve">Skalenkonsistenz, deskriptive Werte, Gruppenunterschiede und einfache Zusammenhänge; Effektstärken und Konfidenzintervalle zusätzlich zu p-Werten.</w:t>
            </w:r>
          </w:p>
        </w:tc>
      </w:tr>
      <w:tr>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Datenschutz</w:t>
            </w:r>
          </w:p>
        </w:tc>
        <w:tc>
          <w:tcPr>
            <w:tcW w:type="dxa" w:w="800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Freiwilligkeit, Einwilligung, keine direkt identifizierenden Daten, Tracking und IP-Speicherung deaktivieren, Löschtermin nennen.</w:t>
            </w:r>
          </w:p>
        </w:tc>
      </w:tr>
      <w:tr>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Zeitplan</w:t>
            </w:r>
          </w:p>
        </w:tc>
        <w:tc>
          <w:tcPr>
            <w:tcW w:type="dxa" w:w="8000"/>
            <w:tcMar>
              <w:top w:type="dxa" w:w="60"/>
              <w:left w:type="dxa" w:w="110"/>
              <w:bottom w:type="dxa" w:w="60"/>
              <w:right w:type="dxa" w:w="110"/>
            </w:tcMar>
            <w:vAlign w:val="top"/>
          </w:tcPr>
          <w:p>
            <w:pPr>
              <w:spacing w:after="40" w:before="40" w:line="264"/>
            </w:pPr>
            <w:r>
              <w:rPr>
                <w:b w:val="false"/>
                <w:bCs w:val="false"/>
                <w:color w:val="1F2937"/>
                <w:sz w:val="17"/>
                <w:szCs w:val="17"/>
              </w:rPr>
              <w:t xml:space="preserve">Pretest und Pilot vor Feldstart; Feldphase mindestens zehn Tage — der Rücklauf braucht Vorlauf.</w:t>
            </w:r>
          </w:p>
        </w:tc>
      </w:tr>
    </w:tbl>
    <w:p>
      <w:pPr>
        <w:pStyle w:val="Heading2"/>
        <w:spacing w:after="120" w:before="280"/>
      </w:pPr>
      <w:r>
        <w:rPr>
          <w:rFonts w:ascii="Calibri" w:cs="Calibri" w:eastAsia="Calibri" w:hAnsi="Calibri"/>
          <w:b/>
          <w:bCs/>
          <w:color w:val="1B5E43"/>
          <w:sz w:val="24"/>
          <w:szCs w:val="24"/>
        </w:rPr>
        <w:t xml:space="preserve">6.2 Operationalisierung</w:t>
      </w:r>
    </w:p>
    <w:p>
      <w:pPr>
        <w:spacing w:after="140" w:line="288"/>
      </w:pPr>
      <w:r>
        <w:rPr>
          <w:color w:val="1F2937"/>
          <w:sz w:val="21"/>
          <w:szCs w:val="21"/>
        </w:rPr>
        <w:t xml:space="preserve">Antwortskala durchgängig 1 = stimme überhaupt nicht zu bis 7 = stimme vollständig zu, zusätzlich „kann ich nicht beurteilen". Die letzten drei Zeilen sind die Ergänzung aus der Parallelfassung: Sie prüfen unmittelbar die drei Kriterien des Wettbewerbsvorteils.</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120"/>
        <w:gridCol w:w="1638"/>
        <w:gridCol w:w="4337"/>
        <w:gridCol w:w="1543"/>
      </w:tblGrid>
      <w:tr>
        <w:trPr>
          <w:tblHeader/>
        </w:trPr>
        <w:tc>
          <w:tcPr>
            <w:tcW w:type="dxa" w:w="212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Konstrukt</w:t>
            </w:r>
          </w:p>
        </w:tc>
        <w:tc>
          <w:tcPr>
            <w:tcW w:type="dxa" w:w="163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Gruppe</w:t>
            </w:r>
          </w:p>
        </w:tc>
        <w:tc>
          <w:tcPr>
            <w:tcW w:type="dxa" w:w="4337"/>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Beispielitem</w:t>
            </w:r>
          </w:p>
        </w:tc>
        <w:tc>
          <w:tcPr>
            <w:tcW w:type="dxa" w:w="154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Rolle</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Wahrgenommener Gesamtwert</w:t>
            </w:r>
          </w:p>
        </w:tc>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4337"/>
            <w:tcMar>
              <w:top w:type="dxa" w:w="60"/>
              <w:left w:type="dxa" w:w="110"/>
              <w:bottom w:type="dxa" w:w="60"/>
              <w:right w:type="dxa" w:w="110"/>
            </w:tcMar>
            <w:vAlign w:val="top"/>
          </w:tcPr>
          <w:p>
            <w:pPr>
              <w:spacing w:after="40" w:before="40" w:line="264"/>
            </w:pPr>
            <w:r>
              <w:rPr>
                <w:b w:val="false"/>
                <w:bCs w:val="false"/>
                <w:color w:val="1F2937"/>
                <w:sz w:val="17"/>
                <w:szCs w:val="17"/>
              </w:rPr>
              <w:t xml:space="preserve">Insgesamt überwiegt der Nutzen von Spotify den Aufwand durch Geld, Zeit oder Werbung.</w:t>
            </w:r>
          </w:p>
        </w:tc>
        <w:tc>
          <w:tcPr>
            <w:tcW w:type="dxa" w:w="1543"/>
            <w:tcMar>
              <w:top w:type="dxa" w:w="60"/>
              <w:left w:type="dxa" w:w="110"/>
              <w:bottom w:type="dxa" w:w="60"/>
              <w:right w:type="dxa" w:w="110"/>
            </w:tcMar>
            <w:vAlign w:val="top"/>
          </w:tcPr>
          <w:p>
            <w:pPr>
              <w:spacing w:after="40" w:before="40" w:line="264"/>
            </w:pPr>
            <w:r>
              <w:rPr>
                <w:b w:val="false"/>
                <w:bCs w:val="false"/>
                <w:color w:val="1F2937"/>
                <w:sz w:val="17"/>
                <w:szCs w:val="17"/>
              </w:rPr>
              <w:t xml:space="preserve">Prädiktor (H1)</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Zufriedenheit</w:t>
            </w:r>
          </w:p>
        </w:tc>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433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Insgesamt bin ich mit Spotify zufrieden.</w:t>
            </w:r>
          </w:p>
        </w:tc>
        <w:tc>
          <w:tcPr>
            <w:tcW w:type="dxa" w:w="154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Ergebnis / Mediator</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Weiternutzungsabsicht</w:t>
            </w:r>
          </w:p>
        </w:tc>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4337"/>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wird voraussichtlich mein hauptsächlich genutzter Audiodienst bleiben.</w:t>
            </w:r>
          </w:p>
        </w:tc>
        <w:tc>
          <w:tcPr>
            <w:tcW w:type="dxa" w:w="1543"/>
            <w:tcMar>
              <w:top w:type="dxa" w:w="60"/>
              <w:left w:type="dxa" w:w="110"/>
              <w:bottom w:type="dxa" w:w="60"/>
              <w:right w:type="dxa" w:w="110"/>
            </w:tcMar>
            <w:vAlign w:val="top"/>
          </w:tcPr>
          <w:p>
            <w:pPr>
              <w:spacing w:after="40" w:before="40" w:line="264"/>
            </w:pPr>
            <w:r>
              <w:rPr>
                <w:b w:val="false"/>
                <w:bCs w:val="false"/>
                <w:color w:val="1F2937"/>
                <w:sz w:val="17"/>
                <w:szCs w:val="17"/>
              </w:rPr>
              <w:t xml:space="preserve">Ergebnis (H1)</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Wechselabsicht</w:t>
            </w:r>
          </w:p>
        </w:tc>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433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Ich erwäge ernsthaft, einen anderen Dienst als Hauptdienst zu nutzen.</w:t>
            </w:r>
          </w:p>
        </w:tc>
        <w:tc>
          <w:tcPr>
            <w:tcW w:type="dxa" w:w="154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Ergebnis (H3b)</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Werbeintrusivität</w:t>
            </w:r>
          </w:p>
        </w:tc>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Free</w:t>
            </w:r>
          </w:p>
        </w:tc>
        <w:tc>
          <w:tcPr>
            <w:tcW w:type="dxa" w:w="4337"/>
            <w:tcMar>
              <w:top w:type="dxa" w:w="60"/>
              <w:left w:type="dxa" w:w="110"/>
              <w:bottom w:type="dxa" w:w="60"/>
              <w:right w:type="dxa" w:w="110"/>
            </w:tcMar>
            <w:vAlign w:val="top"/>
          </w:tcPr>
          <w:p>
            <w:pPr>
              <w:spacing w:after="40" w:before="40" w:line="264"/>
            </w:pPr>
            <w:r>
              <w:rPr>
                <w:b w:val="false"/>
                <w:bCs w:val="false"/>
                <w:color w:val="1F2937"/>
                <w:sz w:val="17"/>
                <w:szCs w:val="17"/>
              </w:rPr>
              <w:t xml:space="preserve">Werbeunterbrechungen stören meinen Hörfluss deutlich.</w:t>
            </w:r>
          </w:p>
        </w:tc>
        <w:tc>
          <w:tcPr>
            <w:tcW w:type="dxa" w:w="1543"/>
            <w:tcMar>
              <w:top w:type="dxa" w:w="60"/>
              <w:left w:type="dxa" w:w="110"/>
              <w:bottom w:type="dxa" w:w="60"/>
              <w:right w:type="dxa" w:w="110"/>
            </w:tcMar>
            <w:vAlign w:val="top"/>
          </w:tcPr>
          <w:p>
            <w:pPr>
              <w:spacing w:after="40" w:before="40" w:line="264"/>
            </w:pPr>
            <w:r>
              <w:rPr>
                <w:b w:val="false"/>
                <w:bCs w:val="false"/>
                <w:color w:val="1F2937"/>
                <w:sz w:val="17"/>
                <w:szCs w:val="17"/>
              </w:rPr>
              <w:t xml:space="preserve">Prädiktor (H3a, H3b)</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Premium-Zusatzwert</w:t>
            </w:r>
          </w:p>
        </w:tc>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Free</w:t>
            </w:r>
          </w:p>
        </w:tc>
        <w:tc>
          <w:tcPr>
            <w:tcW w:type="dxa" w:w="433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 würde wichtige Einschränkungen meiner aktuellen Nutzung beseitigen.</w:t>
            </w:r>
          </w:p>
        </w:tc>
        <w:tc>
          <w:tcPr>
            <w:tcW w:type="dxa" w:w="154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Prädiktor (H2)</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Upgrade-Absicht</w:t>
            </w:r>
          </w:p>
        </w:tc>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Free</w:t>
            </w:r>
          </w:p>
        </w:tc>
        <w:tc>
          <w:tcPr>
            <w:tcW w:type="dxa" w:w="4337"/>
            <w:tcMar>
              <w:top w:type="dxa" w:w="60"/>
              <w:left w:type="dxa" w:w="110"/>
              <w:bottom w:type="dxa" w:w="60"/>
              <w:right w:type="dxa" w:w="110"/>
            </w:tcMar>
            <w:vAlign w:val="top"/>
          </w:tcPr>
          <w:p>
            <w:pPr>
              <w:spacing w:after="40" w:before="40" w:line="264"/>
            </w:pPr>
            <w:r>
              <w:rPr>
                <w:b w:val="false"/>
                <w:bCs w:val="false"/>
                <w:color w:val="1F2937"/>
                <w:sz w:val="17"/>
                <w:szCs w:val="17"/>
              </w:rPr>
              <w:t xml:space="preserve">Ich kann mir vorstellen, innerhalb der nächsten sechs Monate Premium zu buchen.</w:t>
            </w:r>
          </w:p>
        </w:tc>
        <w:tc>
          <w:tcPr>
            <w:tcW w:type="dxa" w:w="1543"/>
            <w:tcMar>
              <w:top w:type="dxa" w:w="60"/>
              <w:left w:type="dxa" w:w="110"/>
              <w:bottom w:type="dxa" w:w="60"/>
              <w:right w:type="dxa" w:w="110"/>
            </w:tcMar>
            <w:vAlign w:val="top"/>
          </w:tcPr>
          <w:p>
            <w:pPr>
              <w:spacing w:after="40" w:before="40" w:line="264"/>
            </w:pPr>
            <w:r>
              <w:rPr>
                <w:b w:val="false"/>
                <w:bCs w:val="false"/>
                <w:color w:val="1F2937"/>
                <w:sz w:val="17"/>
                <w:szCs w:val="17"/>
              </w:rPr>
              <w:t xml:space="preserve">Ergebnis (H2, H3a)</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Preisfairness</w:t>
            </w:r>
          </w:p>
        </w:tc>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 mit Zahlungsrolle</w:t>
            </w:r>
          </w:p>
        </w:tc>
        <w:tc>
          <w:tcPr>
            <w:tcW w:type="dxa" w:w="433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Der von mir gezahlte Preis ist angesichts des Nutzens angemessen.</w:t>
            </w:r>
          </w:p>
        </w:tc>
        <w:tc>
          <w:tcPr>
            <w:tcW w:type="dxa" w:w="154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Prädiktor (H4)</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Verlängerungsabsicht</w:t>
            </w:r>
          </w:p>
        </w:tc>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 mit Zahlungsrolle</w:t>
            </w:r>
          </w:p>
        </w:tc>
        <w:tc>
          <w:tcPr>
            <w:tcW w:type="dxa" w:w="4337"/>
            <w:tcMar>
              <w:top w:type="dxa" w:w="60"/>
              <w:left w:type="dxa" w:w="110"/>
              <w:bottom w:type="dxa" w:w="60"/>
              <w:right w:type="dxa" w:w="110"/>
            </w:tcMar>
            <w:vAlign w:val="top"/>
          </w:tcPr>
          <w:p>
            <w:pPr>
              <w:spacing w:after="40" w:before="40" w:line="264"/>
            </w:pPr>
            <w:r>
              <w:rPr>
                <w:b w:val="false"/>
                <w:bCs w:val="false"/>
                <w:color w:val="1F2937"/>
                <w:sz w:val="17"/>
                <w:szCs w:val="17"/>
              </w:rPr>
              <w:t xml:space="preserve">Ich beabsichtige, meinen kostenpflichtigen Zugang fortzuführen.</w:t>
            </w:r>
          </w:p>
        </w:tc>
        <w:tc>
          <w:tcPr>
            <w:tcW w:type="dxa" w:w="1543"/>
            <w:tcMar>
              <w:top w:type="dxa" w:w="60"/>
              <w:left w:type="dxa" w:w="110"/>
              <w:bottom w:type="dxa" w:w="60"/>
              <w:right w:type="dxa" w:w="110"/>
            </w:tcMar>
            <w:vAlign w:val="top"/>
          </w:tcPr>
          <w:p>
            <w:pPr>
              <w:spacing w:after="40" w:before="40" w:line="264"/>
            </w:pPr>
            <w:r>
              <w:rPr>
                <w:b w:val="false"/>
                <w:bCs w:val="false"/>
                <w:color w:val="1F2937"/>
                <w:sz w:val="17"/>
                <w:szCs w:val="17"/>
              </w:rPr>
              <w:t xml:space="preserve">Ergebnis (H4)</w:t>
            </w:r>
          </w:p>
        </w:tc>
      </w:tr>
      <w:tr>
        <w:tc>
          <w:tcPr>
            <w:tcW w:type="dxa" w:w="2120"/>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Wichtigkeitsrangfolge</w:t>
            </w:r>
          </w:p>
        </w:tc>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433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Wie wichtig sind Katalogumfang, Empfehlungen und Personalisierung, Werbefreiheit, Offline-Nutzung, Klangqualität und Hörbuchkontingent? (1–5)</w:t>
            </w:r>
          </w:p>
        </w:tc>
        <w:tc>
          <w:tcPr>
            <w:tcW w:type="dxa" w:w="1543"/>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Kriterium 1:</w:t>
            </w:r>
            <w:r>
              <w:rPr>
                <w:b w:val="false"/>
                <w:bCs w:val="false"/>
                <w:color w:val="1F2937"/>
                <w:sz w:val="17"/>
                <w:szCs w:val="17"/>
              </w:rPr>
              <w:t xml:space="preserve"> wichtiges Kaufkriterium</w:t>
            </w:r>
          </w:p>
        </w:tc>
      </w:tr>
      <w:tr>
        <w:tc>
          <w:tcPr>
            <w:tcW w:type="dxa" w:w="2120"/>
            <w:tcMar>
              <w:top w:type="dxa" w:w="60"/>
              <w:left w:type="dxa" w:w="110"/>
              <w:bottom w:type="dxa" w:w="60"/>
              <w:right w:type="dxa" w:w="110"/>
            </w:tcMar>
            <w:vAlign w:val="top"/>
          </w:tcPr>
          <w:p>
            <w:pPr>
              <w:spacing w:after="40" w:before="40" w:line="264"/>
            </w:pPr>
            <w:r>
              <w:rPr>
                <w:b/>
                <w:bCs/>
                <w:color w:val="1F2937"/>
                <w:sz w:val="17"/>
                <w:szCs w:val="17"/>
              </w:rPr>
              <w:t xml:space="preserve">Wahrnehmbarkeit</w:t>
            </w:r>
          </w:p>
        </w:tc>
        <w:tc>
          <w:tcPr>
            <w:tcW w:type="dxa" w:w="1638"/>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4337"/>
            <w:tcMar>
              <w:top w:type="dxa" w:w="60"/>
              <w:left w:type="dxa" w:w="110"/>
              <w:bottom w:type="dxa" w:w="60"/>
              <w:right w:type="dxa" w:w="110"/>
            </w:tcMar>
            <w:vAlign w:val="top"/>
          </w:tcPr>
          <w:p>
            <w:pPr>
              <w:spacing w:after="40" w:before="40" w:line="264"/>
            </w:pPr>
            <w:r>
              <w:rPr>
                <w:b w:val="false"/>
                <w:bCs w:val="false"/>
                <w:color w:val="1F2937"/>
                <w:sz w:val="17"/>
                <w:szCs w:val="17"/>
              </w:rPr>
              <w:t xml:space="preserve">Wusstest du, dass Spotify Premium ein monatliches Hörbuchkontingent enthält? (ja, nutze ich / ja, nutze ich nicht / nein)</w:t>
            </w:r>
          </w:p>
        </w:tc>
        <w:tc>
          <w:tcPr>
            <w:tcW w:type="dxa" w:w="1543"/>
            <w:tcMar>
              <w:top w:type="dxa" w:w="60"/>
              <w:left w:type="dxa" w:w="110"/>
              <w:bottom w:type="dxa" w:w="60"/>
              <w:right w:type="dxa" w:w="110"/>
            </w:tcMar>
            <w:vAlign w:val="top"/>
          </w:tcPr>
          <w:p>
            <w:pPr>
              <w:spacing w:after="40" w:before="40" w:line="264"/>
            </w:pPr>
            <w:r>
              <w:rPr>
                <w:b/>
                <w:bCs/>
                <w:color w:val="1F2937"/>
                <w:sz w:val="17"/>
                <w:szCs w:val="17"/>
              </w:rPr>
              <w:t xml:space="preserve">Kriterium 2:</w:t>
            </w:r>
            <w:r>
              <w:rPr>
                <w:b w:val="false"/>
                <w:bCs w:val="false"/>
                <w:color w:val="1F2937"/>
                <w:sz w:val="17"/>
                <w:szCs w:val="17"/>
              </w:rPr>
              <w:t xml:space="preserve"> Wahrnehmbarkeit</w:t>
            </w:r>
          </w:p>
        </w:tc>
      </w:tr>
      <w:tr>
        <w:tc>
          <w:tcPr>
            <w:tcW w:type="dxa" w:w="2120"/>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Verteidigbarkeit</w:t>
            </w:r>
          </w:p>
        </w:tc>
        <w:tc>
          <w:tcPr>
            <w:tcW w:type="dxa" w:w="163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4337"/>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Ein anderer Anbieter mit gleichem Katalog kostet 2 € weniger — wie wahrscheinlich würdest du wechseln? (1–5)</w:t>
            </w:r>
          </w:p>
        </w:tc>
        <w:tc>
          <w:tcPr>
            <w:tcW w:type="dxa" w:w="1543"/>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Kriterium 3:</w:t>
            </w:r>
            <w:r>
              <w:rPr>
                <w:b w:val="false"/>
                <w:bCs w:val="false"/>
                <w:color w:val="1F2937"/>
                <w:sz w:val="17"/>
                <w:szCs w:val="17"/>
              </w:rPr>
              <w:t xml:space="preserve"> Verteidigbarkeit</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Warum diese drei Items entscheidend sind.</w:t>
            </w:r>
            <w:r>
              <w:rPr>
                <w:color w:val="1F2937"/>
                <w:sz w:val="19"/>
                <w:szCs w:val="19"/>
              </w:rPr>
              <w:t xml:space="preserve"> Ohne sie liefert die Befragung Zusammenhänge, aber kein Urteil über die These. Mit ihnen lässt sich am Ende sagen: Personalisierung ist (oder ist nicht) ein wichtiges Kaufkriterium, sie ist (oder ist nicht) wahrnehmbar, und sie hält (oder hält nicht) einer Preisdifferenz von zwei Euro stand. Das ist die Antwort auf die Leitfrage.</w:t>
            </w:r>
          </w:p>
        </w:tc>
      </w:tr>
    </w:tbl>
    <w:p>
      <w:pPr>
        <w:pStyle w:val="Heading2"/>
        <w:spacing w:after="120" w:before="280"/>
      </w:pPr>
      <w:r>
        <w:rPr>
          <w:rFonts w:ascii="Calibri" w:cs="Calibri" w:eastAsia="Calibri" w:hAnsi="Calibri"/>
          <w:b/>
          <w:bCs/>
          <w:color w:val="1B5E43"/>
          <w:sz w:val="24"/>
          <w:szCs w:val="24"/>
        </w:rPr>
        <w:t xml:space="preserve">6.3 Auswertungsplan</w:t>
      </w:r>
    </w:p>
    <w:p>
      <w:pPr>
        <w:pStyle w:val="ListParagraph"/>
        <w:numPr>
          <w:ilvl w:val="0"/>
          <w:numId w:val="3"/>
        </w:numPr>
        <w:spacing w:after="90" w:line="288"/>
      </w:pPr>
      <w:r>
        <w:rPr>
          <w:color w:val="1F2937"/>
          <w:sz w:val="21"/>
          <w:szCs w:val="21"/>
        </w:rPr>
        <w:t xml:space="preserve">Ausschlussregeln </w:t>
      </w:r>
      <w:r>
        <w:rPr>
          <w:b/>
          <w:bCs/>
          <w:color w:val="1F2937"/>
          <w:sz w:val="21"/>
          <w:szCs w:val="21"/>
        </w:rPr>
        <w:t xml:space="preserve">vor</w:t>
      </w:r>
      <w:r>
        <w:rPr>
          <w:color w:val="1F2937"/>
          <w:sz w:val="21"/>
          <w:szCs w:val="21"/>
        </w:rPr>
        <w:t xml:space="preserve"> Sichtung der Ergebnisse festlegen: fehlende Einwilligung, Zielgruppe nicht erfüllt, stark unvollständig, widersprüchlich oder unrealistisch schnell ausgefüllt.</w:t>
      </w:r>
    </w:p>
    <w:p>
      <w:pPr>
        <w:pStyle w:val="ListParagraph"/>
        <w:numPr>
          <w:ilvl w:val="0"/>
          <w:numId w:val="3"/>
        </w:numPr>
        <w:spacing w:after="90" w:line="288"/>
      </w:pPr>
      <w:r>
        <w:rPr>
          <w:color w:val="1F2937"/>
          <w:sz w:val="21"/>
          <w:szCs w:val="21"/>
        </w:rPr>
        <w:t xml:space="preserve">Stichprobe beschreiben: Tarif- und Zahlungsrollen, Nutzungsintensität, Multi-Homing, Rücklaufquote.</w:t>
      </w:r>
    </w:p>
    <w:p>
      <w:pPr>
        <w:pStyle w:val="ListParagraph"/>
        <w:numPr>
          <w:ilvl w:val="0"/>
          <w:numId w:val="3"/>
        </w:numPr>
        <w:spacing w:after="90" w:line="288"/>
      </w:pPr>
      <w:r>
        <w:rPr>
          <w:color w:val="1F2937"/>
          <w:sz w:val="21"/>
          <w:szCs w:val="21"/>
        </w:rPr>
        <w:t xml:space="preserve">Mehr-Item-Konstrukte nur bei ausreichender Konsistenz zusammenfassen; Alpha oder Omega mit Itemzahl und n berichten.</w:t>
      </w:r>
    </w:p>
    <w:p>
      <w:pPr>
        <w:pStyle w:val="ListParagraph"/>
        <w:numPr>
          <w:ilvl w:val="0"/>
          <w:numId w:val="3"/>
        </w:numPr>
        <w:spacing w:after="90" w:line="288"/>
      </w:pPr>
      <w:r>
        <w:rPr>
          <w:color w:val="1F2937"/>
          <w:sz w:val="21"/>
          <w:szCs w:val="21"/>
        </w:rPr>
        <w:t xml:space="preserve">Free- und Premium-Gruppe deskriptiv vergleichen; Effektstärken und Unsicherheit zusätzlich zu p-Werten angeben.</w:t>
      </w:r>
    </w:p>
    <w:p>
      <w:pPr>
        <w:pStyle w:val="ListParagraph"/>
        <w:numPr>
          <w:ilvl w:val="0"/>
          <w:numId w:val="3"/>
        </w:numPr>
        <w:spacing w:after="90" w:line="288"/>
      </w:pPr>
      <w:r>
        <w:rPr>
          <w:color w:val="1F2937"/>
          <w:sz w:val="21"/>
          <w:szCs w:val="21"/>
        </w:rPr>
        <w:t xml:space="preserve">H2 und H3 nur in der Free-Gruppe prüfen, H4 nur bei Personen mit tatsächlicher Zahlungsrolle.</w:t>
      </w:r>
    </w:p>
    <w:p>
      <w:pPr>
        <w:pStyle w:val="ListParagraph"/>
        <w:numPr>
          <w:ilvl w:val="0"/>
          <w:numId w:val="3"/>
        </w:numPr>
        <w:spacing w:after="90" w:line="288"/>
      </w:pPr>
      <w:r>
        <w:rPr>
          <w:color w:val="1F2937"/>
          <w:sz w:val="21"/>
          <w:szCs w:val="21"/>
        </w:rPr>
        <w:t xml:space="preserve">Die drei Kriteriumsitems getrennt auswerten und in Kapitel 7.2 gegen die These halten.</w:t>
      </w:r>
    </w:p>
    <w:p>
      <w:pPr>
        <w:pStyle w:val="ListParagraph"/>
        <w:numPr>
          <w:ilvl w:val="0"/>
          <w:numId w:val="3"/>
        </w:numPr>
        <w:spacing w:after="90" w:line="288"/>
      </w:pPr>
      <w:r>
        <w:rPr>
          <w:color w:val="1F2937"/>
          <w:sz w:val="21"/>
          <w:szCs w:val="21"/>
        </w:rPr>
        <w:t xml:space="preserve">Freitext knapp und regelgeleitet kategorisieren; keine Einzelaussage als repräsentatives Ergebnis darstellen.</w:t>
      </w:r>
    </w:p>
    <w:p>
      <w:pPr>
        <w:pStyle w:val="ListParagraph"/>
        <w:numPr>
          <w:ilvl w:val="0"/>
          <w:numId w:val="3"/>
        </w:numPr>
        <w:spacing w:after="90" w:line="288"/>
      </w:pPr>
      <w:r>
        <w:rPr>
          <w:color w:val="1F2937"/>
          <w:sz w:val="21"/>
          <w:szCs w:val="21"/>
        </w:rPr>
        <w:t xml:space="preserve">Limitationen explizit ausweisen: Selbstselektion, Hochschulüberhang, Absicht statt Verhalten, Common-Method-Bias, fehlende Kausalität.</w:t>
      </w:r>
    </w:p>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Go/No-Go.</w:t>
            </w:r>
            <w:r>
              <w:rPr>
                <w:color w:val="1F2937"/>
                <w:sz w:val="19"/>
                <w:szCs w:val="19"/>
              </w:rPr>
              <w:t xml:space="preserve"> Go nur, wenn Zielgruppe, Einwilligung und Datenschutz, Pretest, eine ausreichend große Free-Gruppe und ein realistischer Auswertungsplan gesichert sind. Andernfalls ist eine saubere Sekundäranalyse besser als eine unterdimensionierte Scheinempirie — Variante 2 des Umschichtungsplans in Abschnitt 3.1 ist dafür vorbereitet.</w:t>
            </w:r>
          </w:p>
        </w:tc>
      </w:tr>
    </w:tbl>
    <w:p>
      <w:pPr>
        <w:pStyle w:val="Heading1"/>
        <w:pBdr>
          <w:bottom w:val="single" w:color="1B5E43" w:sz="8" w:space="6"/>
        </w:pBdr>
        <w:spacing w:after="180" w:before="400"/>
      </w:pPr>
      <w:r>
        <w:rPr>
          <w:rFonts w:ascii="Calibri" w:cs="Calibri" w:eastAsia="Calibri" w:hAnsi="Calibri"/>
          <w:b/>
          <w:bCs/>
          <w:color w:val="1F2937"/>
          <w:sz w:val="30"/>
          <w:szCs w:val="30"/>
        </w:rPr>
        <w:t xml:space="preserve">7. Quellenarbeit</w:t>
      </w:r>
    </w:p>
    <w:p>
      <w:pPr>
        <w:spacing w:after="140" w:line="288"/>
      </w:pPr>
      <w:r>
        <w:rPr>
          <w:color w:val="1F2937"/>
          <w:sz w:val="21"/>
          <w:szCs w:val="21"/>
        </w:rPr>
        <w:t xml:space="preserve">Die Quellenarbeit folgt einem Claim-first-Prinzip: Erst wird festgelegt, welche Aussage belegt werden muss, dann wird die bestgeeignete Primär- oder Fachquelle mit exaktem Locator erfasst. Unternehmenskommunikation darf Unternehmenskennzahlen und Angebotsmerkmale belegen, nicht aber die Überlegenheit des eigenen Angebots.</w:t>
      </w:r>
    </w:p>
    <w:p>
      <w:pPr>
        <w:pStyle w:val="Heading2"/>
        <w:spacing w:after="120" w:before="280"/>
      </w:pPr>
      <w:r>
        <w:rPr>
          <w:rFonts w:ascii="Calibri" w:cs="Calibri" w:eastAsia="Calibri" w:hAnsi="Calibri"/>
          <w:b/>
          <w:bCs/>
          <w:color w:val="1B5E43"/>
          <w:sz w:val="24"/>
          <w:szCs w:val="24"/>
        </w:rPr>
        <w:t xml:space="preserve">7.1 Quellenhierarchie</w:t>
      </w:r>
    </w:p>
    <w:p>
      <w:pPr>
        <w:pStyle w:val="ListParagraph"/>
        <w:numPr>
          <w:ilvl w:val="0"/>
          <w:numId w:val="3"/>
        </w:numPr>
        <w:spacing w:after="90" w:line="288"/>
      </w:pPr>
      <w:r>
        <w:rPr>
          <w:color w:val="1F2937"/>
          <w:sz w:val="21"/>
          <w:szCs w:val="21"/>
        </w:rPr>
        <w:t xml:space="preserve">Begutachtete Fachliteratur für Theorie, Konstrukte, Hypothesen und Messskalen.</w:t>
      </w:r>
    </w:p>
    <w:p>
      <w:pPr>
        <w:pStyle w:val="ListParagraph"/>
        <w:numPr>
          <w:ilvl w:val="0"/>
          <w:numId w:val="3"/>
        </w:numPr>
        <w:spacing w:after="90" w:line="288"/>
      </w:pPr>
      <w:r>
        <w:rPr>
          <w:color w:val="1F2937"/>
          <w:sz w:val="21"/>
          <w:szCs w:val="21"/>
        </w:rPr>
        <w:t xml:space="preserve">Lehrbücher der Modulliteratur für die Modelle — mit Seitenzahl, nie über das Skript.</w:t>
      </w:r>
    </w:p>
    <w:p>
      <w:pPr>
        <w:pStyle w:val="ListParagraph"/>
        <w:numPr>
          <w:ilvl w:val="0"/>
          <w:numId w:val="3"/>
        </w:numPr>
        <w:spacing w:after="90" w:line="288"/>
      </w:pPr>
      <w:r>
        <w:rPr>
          <w:color w:val="1F2937"/>
          <w:sz w:val="21"/>
          <w:szCs w:val="21"/>
        </w:rPr>
        <w:t xml:space="preserve">Regulatorische Einreichungen und Geschäftsberichte für Geschäftsmodell, Risiken, Segmentdaten und Unternehmens-KPI.</w:t>
      </w:r>
    </w:p>
    <w:p>
      <w:pPr>
        <w:pStyle w:val="ListParagraph"/>
        <w:numPr>
          <w:ilvl w:val="0"/>
          <w:numId w:val="3"/>
        </w:numPr>
        <w:spacing w:after="90" w:line="288"/>
      </w:pPr>
      <w:r>
        <w:rPr>
          <w:color w:val="1F2937"/>
          <w:sz w:val="21"/>
          <w:szCs w:val="21"/>
        </w:rPr>
        <w:t xml:space="preserve">BVMI, IFPI, ARD/ZDF, Bitkom und vergleichbare Originalstudien für Markt- und Nutzungsdaten.</w:t>
      </w:r>
    </w:p>
    <w:p>
      <w:pPr>
        <w:pStyle w:val="ListParagraph"/>
        <w:numPr>
          <w:ilvl w:val="0"/>
          <w:numId w:val="3"/>
        </w:numPr>
        <w:spacing w:after="90" w:line="288"/>
      </w:pPr>
      <w:r>
        <w:rPr>
          <w:color w:val="1F2937"/>
          <w:sz w:val="21"/>
          <w:szCs w:val="21"/>
        </w:rPr>
        <w:t xml:space="preserve">Offizielle Angebotsseiten für aktuelle Preise und Leistungsmerkmale — am finalen Abrufdatum als PDF archivieren.</w:t>
      </w:r>
    </w:p>
    <w:p>
      <w:pPr>
        <w:pStyle w:val="ListParagraph"/>
        <w:numPr>
          <w:ilvl w:val="0"/>
          <w:numId w:val="3"/>
        </w:numPr>
        <w:spacing w:after="90" w:line="288"/>
      </w:pPr>
      <w:r>
        <w:rPr>
          <w:color w:val="1F2937"/>
          <w:sz w:val="21"/>
          <w:szCs w:val="21"/>
        </w:rPr>
        <w:t xml:space="preserve">Qualitätsmedien nur, wenn keine Primärquelle zugänglich ist. Suchtreffer, Vorlesungsfolien und KI-Ausgaben nie als Beleg.</w:t>
      </w:r>
    </w:p>
    <w:p>
      <w:pPr>
        <w:pStyle w:val="Heading2"/>
        <w:spacing w:after="120" w:before="280"/>
      </w:pPr>
      <w:r>
        <w:rPr>
          <w:rFonts w:ascii="Calibri" w:cs="Calibri" w:eastAsia="Calibri" w:hAnsi="Calibri"/>
          <w:b/>
          <w:bCs/>
          <w:color w:val="1B5E43"/>
          <w:sz w:val="24"/>
          <w:szCs w:val="24"/>
        </w:rPr>
        <w:t xml:space="preserve">7.2 Claim-Source-Matrix</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506"/>
        <w:gridCol w:w="3470"/>
        <w:gridCol w:w="3662"/>
      </w:tblGrid>
      <w:tr>
        <w:trPr>
          <w:tblHeader/>
        </w:trPr>
        <w:tc>
          <w:tcPr>
            <w:tcW w:type="dxa" w:w="250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Zu belegende Aussage</w:t>
            </w:r>
          </w:p>
        </w:tc>
        <w:tc>
          <w:tcPr>
            <w:tcW w:type="dxa" w:w="347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Bevorzugte Quelle / Locator</w:t>
            </w:r>
          </w:p>
        </w:tc>
        <w:tc>
          <w:tcPr>
            <w:tcW w:type="dxa" w:w="366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Status und Einsatz</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Formale Anforderungen</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HSBA 2026, 1–8; HSBA 2025, 7–12</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geprüft; Kapitel 1 und Finalcheck</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Marketingprozess, STP, Kaufverhalten</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Kotler und Armstrong 2020, 6–11, 184–201</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Originalbuch im Team lesen; Kapitel 2–4</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Marktabgrenzung, Marktgrößen, Preisdifferenzierung</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Meffert et al. 2019 — Seitenzahlen aus dem Volltext</w:t>
            </w:r>
          </w:p>
        </w:tc>
        <w:tc>
          <w:tcPr>
            <w:tcW w:type="dxa" w:w="3662"/>
            <w:tcMar>
              <w:top w:type="dxa" w:w="60"/>
              <w:left w:type="dxa" w:w="110"/>
              <w:bottom w:type="dxa" w:w="60"/>
              <w:right w:type="dxa" w:w="110"/>
            </w:tcMar>
            <w:vAlign w:val="top"/>
          </w:tcPr>
          <w:p>
            <w:pPr>
              <w:spacing w:after="40" w:before="40" w:line="264"/>
            </w:pPr>
            <w:r>
              <w:rPr>
                <w:b/>
                <w:bCs/>
                <w:color w:val="1F2937"/>
                <w:sz w:val="17"/>
                <w:szCs w:val="17"/>
              </w:rPr>
              <w:t xml:space="preserve">offen:</w:t>
            </w:r>
            <w:r>
              <w:rPr>
                <w:b w:val="false"/>
                <w:bCs w:val="false"/>
                <w:color w:val="1F2937"/>
                <w:sz w:val="17"/>
                <w:szCs w:val="17"/>
              </w:rPr>
              <w:t xml:space="preserve"> Buch besorgen; Kapitel 3 und 5.2</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Nutzenebenen, Programmpolitik, Diversifikation</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Homburg 2020 — Seitenzahlen aus dem Volltext</w:t>
            </w:r>
          </w:p>
        </w:tc>
        <w:tc>
          <w:tcPr>
            <w:tcW w:type="dxa" w:w="3662"/>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offen:</w:t>
            </w:r>
            <w:r>
              <w:rPr>
                <w:b w:val="false"/>
                <w:bCs w:val="false"/>
                <w:color w:val="1F2937"/>
                <w:sz w:val="17"/>
                <w:szCs w:val="17"/>
              </w:rPr>
              <w:t xml:space="preserve"> Buch besorgen; Kapitel 5.1</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Kriterien des Wettbewerbsvorteils</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Meffert et al. 2019 — Seitenzahlen aus dem Volltext</w:t>
            </w:r>
          </w:p>
        </w:tc>
        <w:tc>
          <w:tcPr>
            <w:tcW w:type="dxa" w:w="3662"/>
            <w:tcMar>
              <w:top w:type="dxa" w:w="60"/>
              <w:left w:type="dxa" w:w="110"/>
              <w:bottom w:type="dxa" w:w="60"/>
              <w:right w:type="dxa" w:w="110"/>
            </w:tcMar>
            <w:vAlign w:val="top"/>
          </w:tcPr>
          <w:p>
            <w:pPr>
              <w:spacing w:after="40" w:before="40" w:line="264"/>
            </w:pPr>
            <w:r>
              <w:rPr>
                <w:b/>
                <w:bCs/>
                <w:color w:val="1F2937"/>
                <w:sz w:val="17"/>
                <w:szCs w:val="17"/>
              </w:rPr>
              <w:t xml:space="preserve">offen:</w:t>
            </w:r>
            <w:r>
              <w:rPr>
                <w:b w:val="false"/>
                <w:bCs w:val="false"/>
                <w:color w:val="1F2937"/>
                <w:sz w:val="17"/>
                <w:szCs w:val="17"/>
              </w:rPr>
              <w:t xml:space="preserve"> trägt die These; Kapitel 1.2 und 7.2</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Spotify-KPI und Umsatzmix</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6-K Q2 2026, 27–31</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Primärquelle geprüft; Kapitel 3</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Geschäftsmodell, Risiken, Plattformabhängigkeit</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20-F 2025 — Risikoabschnitt</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Primärquelle; Kapitel 3.1 und 5.3</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Deutscher Musikmarkt 2025</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BVMI 2026, 5–8, 16–17, 24–25, 31–34</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Originalbericht geprüft; Kapitel 3</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Globaler Musikmarkt 2025</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IFPI 2026, 6–7</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Originalbericht geprüft; Kapitel 3</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Anteile an bezahlten Abonnements</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MIDiA Research, Q4 2025 — Zugang über Fachpresse</w:t>
            </w:r>
          </w:p>
        </w:tc>
        <w:tc>
          <w:tcPr>
            <w:tcW w:type="dxa" w:w="3662"/>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als Schätzung und Sekundärzugang kennzeichnen;</w:t>
            </w:r>
            <w:r>
              <w:rPr>
                <w:b w:val="false"/>
                <w:bCs w:val="false"/>
                <w:color w:val="1F2937"/>
                <w:sz w:val="17"/>
                <w:szCs w:val="17"/>
              </w:rPr>
              <w:t xml:space="preserve"> Kapitel 3.4</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Nutzung und Reichweite in Deutschland</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ARD/ZDF-Medienstudie 2025, n = 2.512</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Originalstudie; Kapitel 3.3 und 3.5</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Ausgaben und Zahlungsbereitschaft</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Bitkom 2025, Erhebung KW 13–18/2024, n = 1.149</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Originalmitteilung; Kapitel 3.3 und 5.2</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Mehrseitige Plattform</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Armstrong 2006, 668–691; Rochet und Tirole 2003, 990–1029</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Fachliteratur; Modellbegründung</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Freemium: Upgrade gegen Bindung</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Mäntymäki, Islam und Benbasat 2020, 295–333</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Fachartikel; Theorie und Diskussion</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Premium-Fit und Konversion</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Wagner, Benlian und Hess 2014, 259–268</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Fachartikel; H2</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Konversion im deutschen Streamingmarkt</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Seifert et al. 2024, 201–219</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Open Access, deutsche Stichprobe; Kapitel 2 und 5.2</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Werbeintrusivität und Kontrollverlust</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Riedel et al. 2025, 322–341</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Fachartikel; H3a und H3b</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Preisfairness</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Xia, Monroe und Cox 2004, 1–15</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Fachartikel; H4</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Weiternutzungsabsicht</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Bhattacherjee 2001, 351–370</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Fachartikel; H1</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Wahrgenommener Wert</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Zeithaml 1988, 2–22</w:t>
            </w:r>
          </w:p>
        </w:tc>
        <w:tc>
          <w:tcPr>
            <w:tcW w:type="dxa" w:w="366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Fachartikel; Konstruktdefinition</w:t>
            </w:r>
          </w:p>
        </w:tc>
      </w:tr>
      <w:tr>
        <w:tc>
          <w:tcPr>
            <w:tcW w:type="dxa" w:w="2506"/>
            <w:tcMar>
              <w:top w:type="dxa" w:w="60"/>
              <w:left w:type="dxa" w:w="110"/>
              <w:bottom w:type="dxa" w:w="60"/>
              <w:right w:type="dxa" w:w="110"/>
            </w:tcMar>
            <w:vAlign w:val="top"/>
          </w:tcPr>
          <w:p>
            <w:pPr>
              <w:spacing w:after="40" w:before="40" w:line="264"/>
            </w:pPr>
            <w:r>
              <w:rPr>
                <w:b w:val="false"/>
                <w:bCs w:val="false"/>
                <w:color w:val="1F2937"/>
                <w:sz w:val="17"/>
                <w:szCs w:val="17"/>
              </w:rPr>
              <w:t xml:space="preserve">Wirkung von Empfehlungssystemen</w:t>
            </w:r>
          </w:p>
        </w:tc>
        <w:tc>
          <w:tcPr>
            <w:tcW w:type="dxa" w:w="3470"/>
            <w:tcMar>
              <w:top w:type="dxa" w:w="60"/>
              <w:left w:type="dxa" w:w="110"/>
              <w:bottom w:type="dxa" w:w="60"/>
              <w:right w:type="dxa" w:w="110"/>
            </w:tcMar>
            <w:vAlign w:val="top"/>
          </w:tcPr>
          <w:p>
            <w:pPr>
              <w:spacing w:after="40" w:before="40" w:line="264"/>
            </w:pPr>
            <w:r>
              <w:rPr>
                <w:b w:val="false"/>
                <w:bCs w:val="false"/>
                <w:color w:val="1F2937"/>
                <w:sz w:val="17"/>
                <w:szCs w:val="17"/>
              </w:rPr>
              <w:t xml:space="preserve">Hosanagar et al. 2014, 805–823; Datta, Knox und Bronnenberg 2018, 5–21</w:t>
            </w:r>
          </w:p>
        </w:tc>
        <w:tc>
          <w:tcPr>
            <w:tcW w:type="dxa" w:w="3662"/>
            <w:tcMar>
              <w:top w:type="dxa" w:w="60"/>
              <w:left w:type="dxa" w:w="110"/>
              <w:bottom w:type="dxa" w:w="60"/>
              <w:right w:type="dxa" w:w="110"/>
            </w:tcMar>
            <w:vAlign w:val="top"/>
          </w:tcPr>
          <w:p>
            <w:pPr>
              <w:spacing w:after="40" w:before="40" w:line="264"/>
            </w:pPr>
            <w:r>
              <w:rPr>
                <w:b w:val="false"/>
                <w:bCs w:val="false"/>
                <w:color w:val="1F2937"/>
                <w:sz w:val="17"/>
                <w:szCs w:val="17"/>
              </w:rPr>
              <w:t xml:space="preserve">Fachartikel; Kapitel 5.1</w:t>
            </w:r>
          </w:p>
        </w:tc>
      </w:tr>
      <w:tr>
        <w:tc>
          <w:tcPr>
            <w:tcW w:type="dxa" w:w="250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Aktuelle Tarife aller sechs Anbieter</w:t>
            </w:r>
          </w:p>
        </w:tc>
        <w:tc>
          <w:tcPr>
            <w:tcW w:type="dxa" w:w="347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offizielle Angebotsseiten, Archiv-PDF mit Abrufdatum</w:t>
            </w:r>
          </w:p>
        </w:tc>
        <w:tc>
          <w:tcPr>
            <w:tcW w:type="dxa" w:w="3662"/>
            <w:shd w:fill="FAFBFA" w:color="auto" w:val="clear"/>
            <w:tcMar>
              <w:top w:type="dxa" w:w="60"/>
              <w:left w:type="dxa" w:w="110"/>
              <w:bottom w:type="dxa" w:w="60"/>
              <w:right w:type="dxa" w:w="110"/>
            </w:tcMar>
            <w:vAlign w:val="top"/>
          </w:tcPr>
          <w:p>
            <w:pPr>
              <w:spacing w:after="40" w:before="40" w:line="264"/>
            </w:pPr>
            <w:r>
              <w:rPr>
                <w:b/>
                <w:bCs/>
                <w:color w:val="1F2937"/>
                <w:sz w:val="17"/>
                <w:szCs w:val="17"/>
              </w:rPr>
              <w:t xml:space="preserve">dynamisch:</w:t>
            </w:r>
            <w:r>
              <w:rPr>
                <w:b w:val="false"/>
                <w:bCs w:val="false"/>
                <w:color w:val="1F2937"/>
                <w:sz w:val="17"/>
                <w:szCs w:val="17"/>
              </w:rPr>
              <w:t xml:space="preserve"> vor Abgabe erneut prüfen</w:t>
            </w:r>
          </w:p>
        </w:tc>
      </w:tr>
    </w:tbl>
    <w:p>
      <w:pPr>
        <w:spacing w:after="160"/>
      </w:pPr>
    </w:p>
    <w:p>
      <w:pPr>
        <w:pStyle w:val="Heading2"/>
        <w:spacing w:after="120" w:before="280"/>
      </w:pPr>
      <w:r>
        <w:rPr>
          <w:rFonts w:ascii="Calibri" w:cs="Calibri" w:eastAsia="Calibri" w:hAnsi="Calibri"/>
          <w:b/>
          <w:bCs/>
          <w:color w:val="1B5E43"/>
          <w:sz w:val="24"/>
          <w:szCs w:val="24"/>
        </w:rPr>
        <w:t xml:space="preserve">7.3 Quellenprotokoll — Pflichtfelder</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542"/>
        <w:gridCol w:w="8096"/>
      </w:tblGrid>
      <w:tr>
        <w:trPr>
          <w:tblHeader/>
        </w:trP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Feld</w:t>
            </w:r>
          </w:p>
        </w:tc>
        <w:tc>
          <w:tcPr>
            <w:tcW w:type="dxa" w:w="8096"/>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Dokumentationsregel</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Vollbeleg</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Chicago-Author-Date-Angabe, DOI oder dauerhafte URL.</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Quellentyp</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Begutachtet, Primär- und Unternehmensquelle, Branchenquelle, Originalstudie, Angebotsseite, Fachpresse.</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Claim</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Ein Satz, den die Quelle tatsächlich stützt — keine weitergehende Interpretation hineinlesen.</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Locator</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Seite, Tabelle, Abschnitt oder archivierte Web-PDF-Seite. Die HSBA verlangt Seitenangaben bei jeder Quellenart.</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Bezugsperiode</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Stichtag, Quartal oder Kalenderjahr — getrennt vom Veröffentlichungsdatum erfassen.</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Prüfstatus</w:t>
            </w:r>
          </w:p>
        </w:tc>
        <w:tc>
          <w:tcPr>
            <w:tcW w:type="dxa" w:w="8096"/>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Volltext selbst gelesen; Zahl und Einheit gegengeprüft; Interessenkonflikt oder Methodengrenze notiert.</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Kapitel</w:t>
            </w:r>
          </w:p>
        </w:tc>
        <w:tc>
          <w:tcPr>
            <w:tcW w:type="dxa" w:w="8096"/>
            <w:tcMar>
              <w:top w:type="dxa" w:w="60"/>
              <w:left w:type="dxa" w:w="110"/>
              <w:bottom w:type="dxa" w:w="60"/>
              <w:right w:type="dxa" w:w="110"/>
            </w:tcMar>
            <w:vAlign w:val="top"/>
          </w:tcPr>
          <w:p>
            <w:pPr>
              <w:spacing w:after="40" w:before="40" w:line="264"/>
            </w:pPr>
            <w:r>
              <w:rPr>
                <w:b w:val="false"/>
                <w:bCs w:val="false"/>
                <w:color w:val="1F2937"/>
                <w:sz w:val="17"/>
                <w:szCs w:val="17"/>
              </w:rPr>
              <w:t xml:space="preserve">Nur Quellen im Literaturverzeichnis führen, die im Text tatsächlich zitiert sind.</w:t>
            </w:r>
          </w:p>
        </w:tc>
      </w:tr>
    </w:tbl>
    <w:p>
      <w:pPr>
        <w:spacing w:after="14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Kritischer Umgang mit Quellen ist ein eigenes Bewertungskriterium.</w:t>
            </w:r>
            <w:r>
              <w:rPr>
                <w:color w:val="1F2937"/>
                <w:sz w:val="19"/>
                <w:szCs w:val="19"/>
              </w:rPr>
              <w:t xml:space="preserve"> Konkret heißt das: MIDiA-Anteile sind Schätzungen eines kommerziellen Analysehauses; Spotifys Newsroom ist Unternehmenskommunikation mit Eigeninteresse; die Bitkom-Erhebung stammt aus 2024 und wird 2026 zitiert. Alle drei sind verwendbar — aber im Text als das zu kennzeichnen, was sie sind. Ein Satz, der die Grenze der Quelle benennt, bringt Punkte; eine Zahl ohne Einordnung kostet sie.</w:t>
            </w:r>
          </w:p>
        </w:tc>
      </w:tr>
    </w:tbl>
    <w:p>
      <w:pPr>
        <w:pStyle w:val="Heading1"/>
        <w:pBdr>
          <w:bottom w:val="single" w:color="1B5E43" w:sz="8" w:space="6"/>
        </w:pBdr>
        <w:spacing w:after="180" w:before="400"/>
      </w:pPr>
      <w:r>
        <w:rPr>
          <w:rFonts w:ascii="Calibri" w:cs="Calibri" w:eastAsia="Calibri" w:hAnsi="Calibri"/>
          <w:b/>
          <w:bCs/>
          <w:color w:val="1F2937"/>
          <w:sz w:val="30"/>
          <w:szCs w:val="30"/>
        </w:rPr>
        <w:t xml:space="preserve">8. Arbeitsplan und offene Entscheidungen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928"/>
        <w:gridCol w:w="4433"/>
        <w:gridCol w:w="1542"/>
        <w:gridCol w:w="1735"/>
      </w:tblGrid>
      <w:tr>
        <w:trPr>
          <w:tblHeader/>
        </w:trPr>
        <w:tc>
          <w:tcPr>
            <w:tcW w:type="dxa" w:w="192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Arbeitspaket</w:t>
            </w:r>
          </w:p>
        </w:tc>
        <w:tc>
          <w:tcPr>
            <w:tcW w:type="dxa" w:w="443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Ergebnis</w:t>
            </w:r>
          </w:p>
        </w:tc>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Wer</w:t>
            </w:r>
          </w:p>
        </w:tc>
        <w:tc>
          <w:tcPr>
            <w:tcW w:type="dxa" w:w="173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Wann</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Formalia klären</w:t>
            </w:r>
          </w:p>
        </w:tc>
        <w:tc>
          <w:tcPr>
            <w:tcW w:type="dxa" w:w="4433"/>
            <w:tcMar>
              <w:top w:type="dxa" w:w="60"/>
              <w:left w:type="dxa" w:w="110"/>
              <w:bottom w:type="dxa" w:w="60"/>
              <w:right w:type="dxa" w:w="110"/>
            </w:tcMar>
            <w:vAlign w:val="top"/>
          </w:tcPr>
          <w:p>
            <w:pPr>
              <w:spacing w:after="40" w:before="40" w:line="264"/>
            </w:pPr>
            <w:r>
              <w:rPr>
                <w:b w:val="false"/>
                <w:bCs w:val="false"/>
                <w:color w:val="1F2937"/>
                <w:sz w:val="17"/>
                <w:szCs w:val="17"/>
              </w:rPr>
              <w:t xml:space="preserve">Die sechs Fragen aus Abschnitt 1.3 mit der Dozentin klären und die Antworten protokollieren</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[Name]</w:t>
            </w:r>
          </w:p>
        </w:tc>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Dienstag, 25.08.</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Leitfrage abstimmen</w:t>
            </w:r>
          </w:p>
        </w:tc>
        <w:tc>
          <w:tcPr>
            <w:tcW w:type="dxa" w:w="443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Leitfrage, These und Schwerpunktsetzung bestätigen lassen — der Leitfaden verlangt die Absprache ausdrücklich</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Team</w:t>
            </w:r>
          </w:p>
        </w:tc>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Dienstag, 25.08.</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Teammeldung prüfen</w:t>
            </w:r>
          </w:p>
        </w:tc>
        <w:tc>
          <w:tcPr>
            <w:tcW w:type="dxa" w:w="4433"/>
            <w:tcMar>
              <w:top w:type="dxa" w:w="60"/>
              <w:left w:type="dxa" w:w="110"/>
              <w:bottom w:type="dxa" w:w="60"/>
              <w:right w:type="dxa" w:w="110"/>
            </w:tcMar>
            <w:vAlign w:val="top"/>
          </w:tcPr>
          <w:p>
            <w:pPr>
              <w:spacing w:after="40" w:before="40" w:line="264"/>
            </w:pPr>
            <w:r>
              <w:rPr>
                <w:b w:val="false"/>
                <w:bCs w:val="false"/>
                <w:color w:val="1F2937"/>
                <w:sz w:val="17"/>
                <w:szCs w:val="17"/>
              </w:rPr>
              <w:t xml:space="preserve">Nachweis, dass die Teamliste fristgerecht (10.08.2026, 18 Uhr) eingegangen ist</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[Name]</w:t>
            </w:r>
          </w:p>
        </w:tc>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Dienstag, 25.08.</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Kernliteratur besorgen</w:t>
            </w:r>
          </w:p>
        </w:tc>
        <w:tc>
          <w:tcPr>
            <w:tcW w:type="dxa" w:w="443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Kotler/Armstrong, Homburg und Meffert et al. aus der Bibliothek — ohne Seitenzahlen keine Zitation</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[Name]</w:t>
            </w:r>
          </w:p>
        </w:tc>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diese Woche</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Literaturverwaltung</w:t>
            </w:r>
          </w:p>
        </w:tc>
        <w:tc>
          <w:tcPr>
            <w:tcW w:type="dxa" w:w="4433"/>
            <w:tcMar>
              <w:top w:type="dxa" w:w="60"/>
              <w:left w:type="dxa" w:w="110"/>
              <w:bottom w:type="dxa" w:w="60"/>
              <w:right w:type="dxa" w:w="110"/>
            </w:tcMar>
            <w:vAlign w:val="top"/>
          </w:tcPr>
          <w:p>
            <w:pPr>
              <w:spacing w:after="40" w:before="40" w:line="264"/>
            </w:pPr>
            <w:r>
              <w:rPr>
                <w:b w:val="false"/>
                <w:bCs w:val="false"/>
                <w:color w:val="1F2937"/>
                <w:sz w:val="17"/>
                <w:szCs w:val="17"/>
              </w:rPr>
              <w:t xml:space="preserve">Mendeley oder Citavi aufsetzen, Chicago Author-Date einstellen, die Kernquellen anlegen</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[Name]</w:t>
            </w:r>
          </w:p>
        </w:tc>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diese Woche</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Kunden und Markt</w:t>
            </w:r>
          </w:p>
        </w:tc>
        <w:tc>
          <w:tcPr>
            <w:tcW w:type="dxa" w:w="443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Kapitel 3 aus Abschnitt 4 dieses Dokuments schreiben; Locatoren übernehmen</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[Name]</w:t>
            </w:r>
          </w:p>
        </w:tc>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diese Woche</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Umfrage</w:t>
            </w:r>
          </w:p>
        </w:tc>
        <w:tc>
          <w:tcPr>
            <w:tcW w:type="dxa" w:w="4433"/>
            <w:tcMar>
              <w:top w:type="dxa" w:w="60"/>
              <w:left w:type="dxa" w:w="110"/>
              <w:bottom w:type="dxa" w:w="60"/>
              <w:right w:type="dxa" w:w="110"/>
            </w:tcMar>
            <w:vAlign w:val="top"/>
          </w:tcPr>
          <w:p>
            <w:pPr>
              <w:spacing w:after="40" w:before="40" w:line="264"/>
            </w:pPr>
            <w:r>
              <w:rPr>
                <w:b w:val="false"/>
                <w:bCs w:val="false"/>
                <w:color w:val="1F2937"/>
                <w:sz w:val="17"/>
                <w:szCs w:val="17"/>
              </w:rPr>
              <w:t xml:space="preserve">Go/No-Go, Tool, Datenschutztext, Pretest, Feldphase und Auswertungsplan festlegen</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Team</w:t>
            </w:r>
          </w:p>
        </w:tc>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Dienstag, 25.08.</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Preisrecherche</w:t>
            </w:r>
          </w:p>
        </w:tc>
        <w:tc>
          <w:tcPr>
            <w:tcW w:type="dxa" w:w="443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Alle sechs Angebotsseiten prüfen, Amazon-Preis im eingeloggten Konto verifizieren, PDFs archivieren</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[Name]</w:t>
            </w:r>
          </w:p>
        </w:tc>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vor Abgabe</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Quellen-QA</w:t>
            </w:r>
          </w:p>
        </w:tc>
        <w:tc>
          <w:tcPr>
            <w:tcW w:type="dxa" w:w="4433"/>
            <w:tcMar>
              <w:top w:type="dxa" w:w="60"/>
              <w:left w:type="dxa" w:w="110"/>
              <w:bottom w:type="dxa" w:w="60"/>
              <w:right w:type="dxa" w:w="110"/>
            </w:tcMar>
            <w:vAlign w:val="top"/>
          </w:tcPr>
          <w:p>
            <w:pPr>
              <w:spacing w:after="40" w:before="40" w:line="264"/>
            </w:pPr>
            <w:r>
              <w:rPr>
                <w:b w:val="false"/>
                <w:bCs w:val="false"/>
                <w:color w:val="1F2937"/>
                <w:sz w:val="17"/>
                <w:szCs w:val="17"/>
              </w:rPr>
              <w:t xml:space="preserve">Jede Quelle im Volltext lesen, Zahlen- und Einheitencheck, Chicago-Format</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alle, Peer Check</w:t>
            </w:r>
          </w:p>
        </w:tc>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laufend</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Prompt-Protokoll</w:t>
            </w:r>
          </w:p>
        </w:tc>
        <w:tc>
          <w:tcPr>
            <w:tcW w:type="dxa" w:w="443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Tool, vollständiger Prompt, Datum — Pflichtbestandteil hinter dem Literaturverzeichnis</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laufend</w:t>
            </w:r>
          </w:p>
        </w:tc>
      </w:tr>
      <w:tr>
        <w:tc>
          <w:tcPr>
            <w:tcW w:type="dxa" w:w="1928"/>
            <w:tcMar>
              <w:top w:type="dxa" w:w="60"/>
              <w:left w:type="dxa" w:w="110"/>
              <w:bottom w:type="dxa" w:w="60"/>
              <w:right w:type="dxa" w:w="110"/>
            </w:tcMar>
            <w:vAlign w:val="top"/>
          </w:tcPr>
          <w:p>
            <w:pPr>
              <w:spacing w:after="40" w:before="40" w:line="264"/>
            </w:pPr>
            <w:r>
              <w:rPr>
                <w:b w:val="false"/>
                <w:bCs w:val="false"/>
                <w:color w:val="1F2937"/>
                <w:sz w:val="17"/>
                <w:szCs w:val="17"/>
              </w:rPr>
              <w:t xml:space="preserve">Redaktion</w:t>
            </w:r>
          </w:p>
        </w:tc>
        <w:tc>
          <w:tcPr>
            <w:tcW w:type="dxa" w:w="4433"/>
            <w:tcMar>
              <w:top w:type="dxa" w:w="60"/>
              <w:left w:type="dxa" w:w="110"/>
              <w:bottom w:type="dxa" w:w="60"/>
              <w:right w:type="dxa" w:w="110"/>
            </w:tcMar>
            <w:vAlign w:val="top"/>
          </w:tcPr>
          <w:p>
            <w:pPr>
              <w:spacing w:after="40" w:before="40" w:line="264"/>
            </w:pPr>
            <w:r>
              <w:rPr>
                <w:b w:val="false"/>
                <w:bCs w:val="false"/>
                <w:color w:val="1F2937"/>
                <w:sz w:val="17"/>
                <w:szCs w:val="17"/>
              </w:rPr>
              <w:t xml:space="preserve">Storyline, Doppelungen, Wortbudget, Abbildungen, individuelle Stellungnahmen</w:t>
            </w:r>
          </w:p>
        </w:tc>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[Name]</w:t>
            </w:r>
          </w:p>
        </w:tc>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vor Abgabe</w:t>
            </w:r>
          </w:p>
        </w:tc>
      </w:tr>
      <w:tr>
        <w:tc>
          <w:tcPr>
            <w:tcW w:type="dxa" w:w="192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Abgabe</w:t>
            </w:r>
          </w:p>
        </w:tc>
        <w:tc>
          <w:tcPr>
            <w:tcW w:type="dxa" w:w="443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PDF auf WISEflow, Dateinamensschema, ehrenwörtliche Erklärung unterschrieben</w:t>
            </w:r>
          </w:p>
        </w:tc>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alle</w:t>
            </w:r>
          </w:p>
        </w:tc>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Prüfungswoche</w:t>
            </w:r>
          </w:p>
        </w:tc>
      </w:tr>
    </w:tbl>
    <w:p>
      <w:pPr>
        <w:spacing w:after="160"/>
      </w:pPr>
    </w:p>
    <w:p>
      <w:pPr>
        <w:pStyle w:val="Heading2"/>
        <w:spacing w:after="120" w:before="280"/>
      </w:pPr>
      <w:r>
        <w:rPr>
          <w:rFonts w:ascii="Calibri" w:cs="Calibri" w:eastAsia="Calibri" w:hAnsi="Calibri"/>
          <w:b/>
          <w:bCs/>
          <w:color w:val="1B5E43"/>
          <w:sz w:val="24"/>
          <w:szCs w:val="24"/>
        </w:rPr>
        <w:t xml:space="preserve">8.1 Offene Punkte in einer Liste</w:t>
      </w:r>
    </w:p>
    <w:p>
      <w:pPr>
        <w:pStyle w:val="ListParagraph"/>
        <w:numPr>
          <w:ilvl w:val="0"/>
          <w:numId w:val="2"/>
        </w:numPr>
        <w:spacing w:after="90" w:line="288"/>
      </w:pPr>
      <w:r>
        <w:rPr>
          <w:color w:val="1F2937"/>
          <w:sz w:val="21"/>
          <w:szCs w:val="21"/>
        </w:rPr>
        <w:t xml:space="preserve">Team und dessen fristgerechte Meldung an die Dozentin.</w:t>
      </w:r>
    </w:p>
    <w:p>
      <w:pPr>
        <w:pStyle w:val="ListParagraph"/>
        <w:numPr>
          <w:ilvl w:val="0"/>
          <w:numId w:val="2"/>
        </w:numPr>
        <w:spacing w:after="90" w:line="288"/>
      </w:pPr>
      <w:r>
        <w:rPr>
          <w:color w:val="1F2937"/>
          <w:sz w:val="21"/>
          <w:szCs w:val="21"/>
        </w:rPr>
        <w:t xml:space="preserve">Bestätigung von Spotify als Fallunternehmen und der gewählten Vertiefung.</w:t>
      </w:r>
    </w:p>
    <w:p>
      <w:pPr>
        <w:pStyle w:val="ListParagraph"/>
        <w:numPr>
          <w:ilvl w:val="0"/>
          <w:numId w:val="2"/>
        </w:numPr>
        <w:spacing w:after="90" w:line="288"/>
      </w:pPr>
      <w:r>
        <w:rPr>
          <w:color w:val="1F2937"/>
          <w:sz w:val="21"/>
          <w:szCs w:val="21"/>
        </w:rPr>
        <w:t xml:space="preserve">Cut-off: drei oder vier Bewertungsbereiche.</w:t>
      </w:r>
    </w:p>
    <w:p>
      <w:pPr>
        <w:pStyle w:val="ListParagraph"/>
        <w:numPr>
          <w:ilvl w:val="0"/>
          <w:numId w:val="2"/>
        </w:numPr>
        <w:spacing w:after="90" w:line="288"/>
      </w:pPr>
      <w:r>
        <w:rPr>
          <w:color w:val="1F2937"/>
          <w:sz w:val="21"/>
          <w:szCs w:val="21"/>
        </w:rPr>
        <w:t xml:space="preserve">Zählen die individuellen Stellungnahmen in die 6.000-Wörter-Grenze?</w:t>
      </w:r>
    </w:p>
    <w:p>
      <w:pPr>
        <w:pStyle w:val="ListParagraph"/>
        <w:numPr>
          <w:ilvl w:val="0"/>
          <w:numId w:val="2"/>
        </w:numPr>
        <w:spacing w:after="90" w:line="288"/>
      </w:pPr>
      <w:r>
        <w:rPr>
          <w:color w:val="1F2937"/>
          <w:sz w:val="21"/>
          <w:szCs w:val="21"/>
        </w:rPr>
        <w:t xml:space="preserve">Go/No-Go für die eigene Kurzbefragung.</w:t>
      </w:r>
    </w:p>
    <w:p>
      <w:pPr>
        <w:pStyle w:val="ListParagraph"/>
        <w:numPr>
          <w:ilvl w:val="0"/>
          <w:numId w:val="2"/>
        </w:numPr>
        <w:spacing w:after="90" w:line="288"/>
      </w:pPr>
      <w:r>
        <w:rPr>
          <w:color w:val="1F2937"/>
          <w:sz w:val="21"/>
          <w:szCs w:val="21"/>
        </w:rPr>
        <w:t xml:space="preserve">Einzelpreis Amazon Music Unlimited — Sekundärquelle liegt vor, Primärbeleg fehlt.</w:t>
      </w:r>
    </w:p>
    <w:p>
      <w:pPr>
        <w:pStyle w:val="ListParagraph"/>
        <w:numPr>
          <w:ilvl w:val="0"/>
          <w:numId w:val="2"/>
        </w:numPr>
        <w:spacing w:after="90" w:line="288"/>
      </w:pPr>
      <w:r>
        <w:rPr>
          <w:color w:val="1F2937"/>
          <w:sz w:val="21"/>
          <w:szCs w:val="21"/>
        </w:rPr>
        <w:t xml:space="preserve">Seitenzahlen für Homburg und Meffert et al. — ohne sie ist Kapitel 5 nicht zitierfähig.</w:t>
      </w:r>
    </w:p>
    <w:p>
      <w:pPr>
        <w:pStyle w:val="ListParagraph"/>
        <w:numPr>
          <w:ilvl w:val="0"/>
          <w:numId w:val="2"/>
        </w:numPr>
        <w:spacing w:after="90" w:line="288"/>
      </w:pPr>
      <w:r>
        <w:rPr>
          <w:color w:val="1F2937"/>
          <w:sz w:val="21"/>
          <w:szCs w:val="21"/>
        </w:rPr>
        <w:t xml:space="preserve">Konkretes Abgabedatum der Prüfungswoche und verbindliche Abgabesprache.</w:t>
      </w:r>
    </w:p>
    <w:p>
      <w:r>
        <w:br w:type="page"/>
      </w:r>
    </w:p>
    <w:p>
      <w:pPr>
        <w:pStyle w:val="Heading1"/>
        <w:pBdr>
          <w:bottom w:val="single" w:color="1B5E43" w:sz="8" w:space="6"/>
        </w:pBdr>
        <w:spacing w:after="180" w:before="400"/>
      </w:pPr>
      <w:r>
        <w:rPr>
          <w:rFonts w:ascii="Calibri" w:cs="Calibri" w:eastAsia="Calibri" w:hAnsi="Calibri"/>
          <w:b/>
          <w:bCs/>
          <w:color w:val="1F2937"/>
          <w:sz w:val="30"/>
          <w:szCs w:val="30"/>
        </w:rPr>
        <w:t xml:space="preserve">Anhang A. Fragebogenentwurf (5–8 Minuten)</w:t>
      </w:r>
    </w:p>
    <w:p>
      <w:pPr>
        <w:spacing w:after="140" w:line="288"/>
      </w:pPr>
      <w:r>
        <w:rPr>
          <w:color w:val="1F2937"/>
          <w:sz w:val="21"/>
          <w:szCs w:val="21"/>
        </w:rPr>
        <w:t xml:space="preserve">Der Entwurf muss vor Feldstart kognitiv und technisch getestet werden. Formulierungen, Reihenfolge, Filterlogik und Datenschutztext sind an das tatsächlich verwendete Tool anzupassen.</w:t>
      </w:r>
    </w:p>
    <w:p>
      <w:pPr>
        <w:pStyle w:val="Heading2"/>
        <w:spacing w:after="120" w:before="280"/>
      </w:pPr>
      <w:r>
        <w:rPr>
          <w:rFonts w:ascii="Calibri" w:cs="Calibri" w:eastAsia="Calibri" w:hAnsi="Calibri"/>
          <w:b/>
          <w:bCs/>
          <w:color w:val="1B5E43"/>
          <w:sz w:val="24"/>
          <w:szCs w:val="24"/>
        </w:rPr>
        <w:t xml:space="preserve">A.1 Einwilligung und Screening</w:t>
      </w:r>
    </w:p>
    <w:tbl>
      <w:tblPr>
        <w:tblW w:type="dxa" w:w="9638"/>
        <w:tblBorders>
          <w:top w:val="none" w:color="F1F5F3" w:sz="0"/>
          <w:left w:val="single" w:color="1B5E43" w:sz="18"/>
          <w:bottom w:val="none" w:color="F1F5F3" w:sz="0"/>
          <w:right w:val="none" w:color="F1F5F3" w:sz="0"/>
          <w:insideH w:val="none" w:color="F1F5F3" w:sz="0"/>
          <w:insideV w:val="none" w:color="F1F5F3" w:sz="0"/>
        </w:tblBorders>
      </w:tblPr>
      <w:tblGrid>
        <w:gridCol w:w="9638"/>
      </w:tblGrid>
      <w:tr>
        <w:tc>
          <w:tcPr>
            <w:tcW w:type="dxa" w:w="9638"/>
            <w:shd w:fill="F1F5F3" w:color="auto" w:val="clear"/>
            <w:tcMar>
              <w:top w:type="dxa" w:w="120"/>
              <w:left w:type="dxa" w:w="180"/>
              <w:bottom w:type="dxa" w:w="120"/>
              <w:right w:type="dxa" w:w="180"/>
            </w:tcMar>
          </w:tcPr>
          <w:p>
            <w:pPr>
              <w:spacing w:after="60" w:before="60" w:line="276"/>
            </w:pPr>
            <w:r>
              <w:rPr>
                <w:b/>
                <w:bCs/>
                <w:color w:val="1F2937"/>
                <w:sz w:val="19"/>
                <w:szCs w:val="19"/>
              </w:rPr>
              <w:t xml:space="preserve">Einleitungstext:</w:t>
            </w:r>
            <w:r>
              <w:rPr>
                <w:color w:val="1F2937"/>
                <w:sz w:val="19"/>
                <w:szCs w:val="19"/>
              </w:rPr>
              <w:t xml:space="preserve"> Diese anonyme Befragung untersucht die Nutzung von Spotify im Rahmen eines wissenschaftlichen Praxisberichts. Die Teilnahme dauert etwa 5–8 Minuten, ist freiwillig und kann jederzeit abgebrochen werden. Es werden keine Namen erhoben. Die Angaben werden ausschließlich für den Bericht ausgewertet und bis [Löschtermin] gelöscht. Ich bin mindestens 18 Jahre alt und stimme zu.</w:t>
            </w:r>
          </w:p>
        </w:tc>
      </w:tr>
    </w:tbl>
    <w:p>
      <w:pPr>
        <w:spacing w:after="140"/>
      </w:pPr>
    </w:p>
    <w:p>
      <w:pPr>
        <w:pStyle w:val="ListParagraph"/>
        <w:numPr>
          <w:ilvl w:val="0"/>
          <w:numId w:val="3"/>
        </w:numPr>
        <w:spacing w:after="90" w:line="288"/>
      </w:pPr>
      <w:r>
        <w:rPr>
          <w:color w:val="1F2937"/>
          <w:sz w:val="21"/>
          <w:szCs w:val="21"/>
        </w:rPr>
        <w:t xml:space="preserve">Alter: 18–20 / 21–24 / 25–29 / 30–34 / außerhalb → Ende.</w:t>
      </w:r>
    </w:p>
    <w:p>
      <w:pPr>
        <w:pStyle w:val="ListParagraph"/>
        <w:numPr>
          <w:ilvl w:val="0"/>
          <w:numId w:val="3"/>
        </w:numPr>
        <w:spacing w:after="90" w:line="288"/>
      </w:pPr>
      <w:r>
        <w:rPr>
          <w:color w:val="1F2937"/>
          <w:sz w:val="21"/>
          <w:szCs w:val="21"/>
        </w:rPr>
        <w:t xml:space="preserve">Wohnsitz in Deutschland? Ja / Nein → Ende.</w:t>
      </w:r>
    </w:p>
    <w:p>
      <w:pPr>
        <w:pStyle w:val="ListParagraph"/>
        <w:numPr>
          <w:ilvl w:val="0"/>
          <w:numId w:val="3"/>
        </w:numPr>
        <w:spacing w:after="90" w:line="288"/>
      </w:pPr>
      <w:r>
        <w:rPr>
          <w:color w:val="1F2937"/>
          <w:sz w:val="21"/>
          <w:szCs w:val="21"/>
        </w:rPr>
        <w:t xml:space="preserve">Spotify in den vergangenen drei Monaten genutzt? Ja / Nein → Ende.</w:t>
      </w:r>
    </w:p>
    <w:p>
      <w:pPr>
        <w:pStyle w:val="ListParagraph"/>
        <w:numPr>
          <w:ilvl w:val="0"/>
          <w:numId w:val="3"/>
        </w:numPr>
        <w:spacing w:after="90" w:line="288"/>
      </w:pPr>
      <w:r>
        <w:rPr>
          <w:color w:val="1F2937"/>
          <w:sz w:val="21"/>
          <w:szCs w:val="21"/>
        </w:rPr>
        <w:t xml:space="preserve">Überwiegend genutzter Tarif: Free / Student / Individual / Duo oder Family selbst- beziehungsweise mitzahlend / Duo oder Family fremdfinanziert / anderer / weiß nicht.</w:t>
      </w:r>
    </w:p>
    <w:p>
      <w:pPr>
        <w:pStyle w:val="Heading2"/>
        <w:spacing w:after="120" w:before="280"/>
      </w:pPr>
      <w:r>
        <w:rPr>
          <w:rFonts w:ascii="Calibri" w:cs="Calibri" w:eastAsia="Calibri" w:hAnsi="Calibri"/>
          <w:b/>
          <w:bCs/>
          <w:color w:val="1B5E43"/>
          <w:sz w:val="24"/>
          <w:szCs w:val="24"/>
        </w:rPr>
        <w:t xml:space="preserve">A.2 Nutzung</w:t>
      </w:r>
    </w:p>
    <w:p>
      <w:pPr>
        <w:pStyle w:val="ListParagraph"/>
        <w:numPr>
          <w:ilvl w:val="0"/>
          <w:numId w:val="3"/>
        </w:numPr>
        <w:spacing w:after="90" w:line="288"/>
      </w:pPr>
      <w:r>
        <w:rPr>
          <w:color w:val="1F2937"/>
          <w:sz w:val="21"/>
          <w:szCs w:val="21"/>
        </w:rPr>
        <w:t xml:space="preserve">Nutzungshäufigkeit: mehrmals täglich / täglich / mehrmals wöchentlich / etwa wöchentlich / seltener.</w:t>
      </w:r>
    </w:p>
    <w:p>
      <w:pPr>
        <w:pStyle w:val="ListParagraph"/>
        <w:numPr>
          <w:ilvl w:val="0"/>
          <w:numId w:val="3"/>
        </w:numPr>
        <w:spacing w:after="90" w:line="288"/>
      </w:pPr>
      <w:r>
        <w:rPr>
          <w:color w:val="1F2937"/>
          <w:sz w:val="21"/>
          <w:szCs w:val="21"/>
        </w:rPr>
        <w:t xml:space="preserve">Nutzungsdauer: unter 6 Monaten / 6–12 Monate / 1–3 Jahre / länger als 3 Jahre.</w:t>
      </w:r>
    </w:p>
    <w:p>
      <w:pPr>
        <w:pStyle w:val="ListParagraph"/>
        <w:numPr>
          <w:ilvl w:val="0"/>
          <w:numId w:val="3"/>
        </w:numPr>
        <w:spacing w:after="90" w:line="288"/>
      </w:pPr>
      <w:r>
        <w:rPr>
          <w:color w:val="1F2937"/>
          <w:sz w:val="21"/>
          <w:szCs w:val="21"/>
        </w:rPr>
        <w:t xml:space="preserve">Ungefähre Nutzung pro Woche: unter 2 / 2 bis unter 5 / 5 bis unter 10 / 10 bis unter 20 / 20 Stunden und mehr.</w:t>
      </w:r>
    </w:p>
    <w:p>
      <w:pPr>
        <w:pStyle w:val="ListParagraph"/>
        <w:numPr>
          <w:ilvl w:val="0"/>
          <w:numId w:val="3"/>
        </w:numPr>
        <w:spacing w:after="90" w:line="288"/>
      </w:pPr>
      <w:r>
        <w:rPr>
          <w:color w:val="1F2937"/>
          <w:sz w:val="21"/>
          <w:szCs w:val="21"/>
        </w:rPr>
        <w:t xml:space="preserve">Parallel genutzte Dienste (Mehrfachauswahl): Apple Music / Amazon Music / YouTube Music / Deezer / Tidal / Radio / TikTok oder YouTube / andere / keine.</w:t>
      </w:r>
    </w:p>
    <w:p>
      <w:pPr>
        <w:pStyle w:val="ListParagraph"/>
        <w:numPr>
          <w:ilvl w:val="0"/>
          <w:numId w:val="3"/>
        </w:numPr>
        <w:spacing w:after="90" w:line="288"/>
      </w:pPr>
      <w:r>
        <w:rPr>
          <w:color w:val="1F2937"/>
          <w:sz w:val="21"/>
          <w:szCs w:val="21"/>
        </w:rPr>
        <w:t xml:space="preserve">Hauptnutzungssituationen, maximal zwei: gezieltes Hören / Entdeckung / Hintergrund / Sport, Lernen, Entspannung / Podcasts und Hörbücher / soziale Nutzung / sonstiges.</w:t>
      </w:r>
    </w:p>
    <w:p>
      <w:pPr>
        <w:pStyle w:val="Heading2"/>
        <w:spacing w:after="120" w:before="280"/>
      </w:pPr>
      <w:r>
        <w:rPr>
          <w:rFonts w:ascii="Calibri" w:cs="Calibri" w:eastAsia="Calibri" w:hAnsi="Calibri"/>
          <w:b/>
          <w:bCs/>
          <w:color w:val="1B5E43"/>
          <w:sz w:val="24"/>
          <w:szCs w:val="24"/>
        </w:rPr>
        <w:t xml:space="preserve">A.3 Gemeinsame Skalen (alle Gruppen)</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735"/>
        <w:gridCol w:w="7903"/>
      </w:tblGrid>
      <w:tr>
        <w:trPr>
          <w:tblHeader/>
        </w:trPr>
        <w:tc>
          <w:tcPr>
            <w:tcW w:type="dxa" w:w="173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Konstrukt</w:t>
            </w:r>
          </w:p>
        </w:tc>
        <w:tc>
          <w:tcPr>
            <w:tcW w:type="dxa" w:w="790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Items</w:t>
            </w:r>
          </w:p>
        </w:tc>
      </w:tr>
      <w:tr>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Kundennutzen</w:t>
            </w:r>
          </w:p>
        </w:tc>
        <w:tc>
          <w:tcPr>
            <w:tcW w:type="dxa" w:w="7903"/>
            <w:tcMar>
              <w:top w:type="dxa" w:w="60"/>
              <w:left w:type="dxa" w:w="110"/>
              <w:bottom w:type="dxa" w:w="60"/>
              <w:right w:type="dxa" w:w="110"/>
            </w:tcMar>
            <w:vAlign w:val="top"/>
          </w:tcPr>
          <w:p>
            <w:pPr>
              <w:spacing w:after="40" w:before="40" w:line="264"/>
            </w:pPr>
            <w:r>
              <w:rPr>
                <w:b w:val="false"/>
                <w:bCs w:val="false"/>
                <w:color w:val="1F2937"/>
                <w:sz w:val="17"/>
                <w:szCs w:val="17"/>
              </w:rPr>
              <w:t xml:space="preserve">Spotify hilft mir, schnell passende Inhalte zu finden. / Die Nutzung macht mir Freude. / Empfehlungen passen zu meinen Bedürfnissen. / Insgesamt überwiegt der Nutzen meinen Aufwand.</w:t>
            </w:r>
          </w:p>
        </w:tc>
      </w:tr>
      <w:tr>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Zufriedenheit</w:t>
            </w:r>
          </w:p>
        </w:tc>
        <w:tc>
          <w:tcPr>
            <w:tcW w:type="dxa" w:w="790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Insgesamt bin ich zufrieden. / Spotify erfüllt meine Erwartungen. / Die Entscheidung, Spotify zu nutzen, war richtig.</w:t>
            </w:r>
          </w:p>
        </w:tc>
      </w:tr>
      <w:tr>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Weiternutzung</w:t>
            </w:r>
          </w:p>
        </w:tc>
        <w:tc>
          <w:tcPr>
            <w:tcW w:type="dxa" w:w="7903"/>
            <w:tcMar>
              <w:top w:type="dxa" w:w="60"/>
              <w:left w:type="dxa" w:w="110"/>
              <w:bottom w:type="dxa" w:w="60"/>
              <w:right w:type="dxa" w:w="110"/>
            </w:tcMar>
            <w:vAlign w:val="top"/>
          </w:tcPr>
          <w:p>
            <w:pPr>
              <w:spacing w:after="40" w:before="40" w:line="264"/>
            </w:pPr>
            <w:r>
              <w:rPr>
                <w:b w:val="false"/>
                <w:bCs w:val="false"/>
                <w:color w:val="1F2937"/>
                <w:sz w:val="17"/>
                <w:szCs w:val="17"/>
              </w:rPr>
              <w:t xml:space="preserve">Ich beabsichtige, Spotify in den nächsten sechs Monaten zu nutzen. / Spotify wird voraussichtlich mein Hauptdienst bleiben.</w:t>
            </w:r>
          </w:p>
        </w:tc>
      </w:tr>
      <w:tr>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Wechselabsicht</w:t>
            </w:r>
          </w:p>
        </w:tc>
        <w:tc>
          <w:tcPr>
            <w:tcW w:type="dxa" w:w="790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Ich erwäge ernsthaft einen anderen Hauptdienst. / Ein Wechsel in den nächsten sechs Monaten ist wahrscheinlich. / Bei einem attraktiveren Angebot würde ich wechseln.</w:t>
            </w:r>
          </w:p>
        </w:tc>
      </w:tr>
    </w:tbl>
    <w:p>
      <w:pPr>
        <w:pStyle w:val="Heading2"/>
        <w:spacing w:after="120" w:before="280"/>
      </w:pPr>
      <w:r>
        <w:rPr>
          <w:rFonts w:ascii="Calibri" w:cs="Calibri" w:eastAsia="Calibri" w:hAnsi="Calibri"/>
          <w:b/>
          <w:bCs/>
          <w:color w:val="1B5E43"/>
          <w:sz w:val="24"/>
          <w:szCs w:val="24"/>
        </w:rPr>
        <w:t xml:space="preserve">A.4 Free-Zweig</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735"/>
        <w:gridCol w:w="7903"/>
      </w:tblGrid>
      <w:tr>
        <w:trPr>
          <w:tblHeader/>
        </w:trPr>
        <w:tc>
          <w:tcPr>
            <w:tcW w:type="dxa" w:w="1735"/>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Konstrukt</w:t>
            </w:r>
          </w:p>
        </w:tc>
        <w:tc>
          <w:tcPr>
            <w:tcW w:type="dxa" w:w="7903"/>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Items / Frage</w:t>
            </w:r>
          </w:p>
        </w:tc>
      </w:tr>
      <w:tr>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Werbeintrusivität</w:t>
            </w:r>
          </w:p>
        </w:tc>
        <w:tc>
          <w:tcPr>
            <w:tcW w:type="dxa" w:w="7903"/>
            <w:tcMar>
              <w:top w:type="dxa" w:w="60"/>
              <w:left w:type="dxa" w:w="110"/>
              <w:bottom w:type="dxa" w:w="60"/>
              <w:right w:type="dxa" w:w="110"/>
            </w:tcMar>
            <w:vAlign w:val="top"/>
          </w:tcPr>
          <w:p>
            <w:pPr>
              <w:spacing w:after="40" w:before="40" w:line="264"/>
            </w:pPr>
            <w:r>
              <w:rPr>
                <w:b w:val="false"/>
                <w:bCs w:val="false"/>
                <w:color w:val="1F2937"/>
                <w:sz w:val="17"/>
                <w:szCs w:val="17"/>
              </w:rPr>
              <w:t xml:space="preserve">Werbung stört meinen Hörfluss. / Häufigkeit und Platzierung empfinde ich als aufdringlich. / Werbung verringert meine Freude deutlich.</w:t>
            </w:r>
          </w:p>
        </w:tc>
      </w:tr>
      <w:tr>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Premium-Zusatzwert</w:t>
            </w:r>
          </w:p>
        </w:tc>
        <w:tc>
          <w:tcPr>
            <w:tcW w:type="dxa" w:w="790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Premium böte einen deutlich wahrnehmbaren Mehrwert. / Premium würde wichtige Einschränkungen beseitigen. / Premium würde mein Erlebnis merklich verbessern.</w:t>
            </w:r>
          </w:p>
        </w:tc>
      </w:tr>
      <w:tr>
        <w:tc>
          <w:tcPr>
            <w:tcW w:type="dxa" w:w="1735"/>
            <w:tcMar>
              <w:top w:type="dxa" w:w="60"/>
              <w:left w:type="dxa" w:w="110"/>
              <w:bottom w:type="dxa" w:w="60"/>
              <w:right w:type="dxa" w:w="110"/>
            </w:tcMar>
            <w:vAlign w:val="top"/>
          </w:tcPr>
          <w:p>
            <w:pPr>
              <w:spacing w:after="40" w:before="40" w:line="264"/>
            </w:pPr>
            <w:r>
              <w:rPr>
                <w:b w:val="false"/>
                <w:bCs w:val="false"/>
                <w:color w:val="1F2937"/>
                <w:sz w:val="17"/>
                <w:szCs w:val="17"/>
              </w:rPr>
              <w:t xml:space="preserve">Upgrade-Absicht</w:t>
            </w:r>
          </w:p>
        </w:tc>
        <w:tc>
          <w:tcPr>
            <w:tcW w:type="dxa" w:w="7903"/>
            <w:tcMar>
              <w:top w:type="dxa" w:w="60"/>
              <w:left w:type="dxa" w:w="110"/>
              <w:bottom w:type="dxa" w:w="60"/>
              <w:right w:type="dxa" w:w="110"/>
            </w:tcMar>
            <w:vAlign w:val="top"/>
          </w:tcPr>
          <w:p>
            <w:pPr>
              <w:spacing w:after="40" w:before="40" w:line="264"/>
            </w:pPr>
            <w:r>
              <w:rPr>
                <w:b w:val="false"/>
                <w:bCs w:val="false"/>
                <w:color w:val="1F2937"/>
                <w:sz w:val="17"/>
                <w:szCs w:val="17"/>
              </w:rPr>
              <w:t xml:space="preserve">Ich kann mir Premium in den nächsten sechs Monaten vorstellen. / Es ist wahrscheinlich, dass ich künftig zahle. / Bei passendem Preis-Leistungs-Verhältnis würde ich wechseln.</w:t>
            </w:r>
          </w:p>
        </w:tc>
      </w:tr>
      <w:tr>
        <w:tc>
          <w:tcPr>
            <w:tcW w:type="dxa" w:w="1735"/>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Preisgrenze</w:t>
            </w:r>
          </w:p>
        </w:tc>
        <w:tc>
          <w:tcPr>
            <w:tcW w:type="dxa" w:w="7903"/>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Welcher maximale monatliche Eigenanteil wäre für Premium grundsätzlich vorstellbar? Freies Zahlenfeld in Euro; 0 zulässig.</w:t>
            </w:r>
          </w:p>
        </w:tc>
      </w:tr>
    </w:tbl>
    <w:p>
      <w:pPr>
        <w:pStyle w:val="Heading2"/>
        <w:spacing w:after="120" w:before="280"/>
      </w:pPr>
      <w:r>
        <w:rPr>
          <w:rFonts w:ascii="Calibri" w:cs="Calibri" w:eastAsia="Calibri" w:hAnsi="Calibri"/>
          <w:b/>
          <w:bCs/>
          <w:color w:val="1B5E43"/>
          <w:sz w:val="24"/>
          <w:szCs w:val="24"/>
        </w:rPr>
        <w:t xml:space="preserve">A.5 Premium-Zweig</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2120"/>
        <w:gridCol w:w="7518"/>
      </w:tblGrid>
      <w:tr>
        <w:trPr>
          <w:tblHeader/>
        </w:trPr>
        <w:tc>
          <w:tcPr>
            <w:tcW w:type="dxa" w:w="2120"/>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Konstrukt</w:t>
            </w:r>
          </w:p>
        </w:tc>
        <w:tc>
          <w:tcPr>
            <w:tcW w:type="dxa" w:w="751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Items / Frage</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Zahlungsrolle</w:t>
            </w:r>
          </w:p>
        </w:tc>
        <w:tc>
          <w:tcPr>
            <w:tcW w:type="dxa" w:w="7518"/>
            <w:tcMar>
              <w:top w:type="dxa" w:w="60"/>
              <w:left w:type="dxa" w:w="110"/>
              <w:bottom w:type="dxa" w:w="60"/>
              <w:right w:type="dxa" w:w="110"/>
            </w:tcMar>
            <w:vAlign w:val="top"/>
          </w:tcPr>
          <w:p>
            <w:pPr>
              <w:spacing w:after="40" w:before="40" w:line="264"/>
            </w:pPr>
            <w:r>
              <w:rPr>
                <w:b w:val="false"/>
                <w:bCs w:val="false"/>
                <w:color w:val="1F2937"/>
                <w:sz w:val="17"/>
                <w:szCs w:val="17"/>
              </w:rPr>
              <w:t xml:space="preserve">Ich zahle und entscheide selbst oder anteilig / eine andere Person zahlt und entscheidet / weiß nicht.</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Preisfairness (nur mit Zahlungsrolle)</w:t>
            </w:r>
          </w:p>
        </w:tc>
        <w:tc>
          <w:tcPr>
            <w:tcW w:type="dxa" w:w="751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Der Preis ist angesichts des Nutzens angemessen. / Die Preisgestaltung ist transparent. / Im Vergleich zu Alternativen ist der Preis fair.</w:t>
            </w:r>
          </w:p>
        </w:tc>
      </w:tr>
      <w:tr>
        <w:tc>
          <w:tcPr>
            <w:tcW w:type="dxa" w:w="2120"/>
            <w:tcMar>
              <w:top w:type="dxa" w:w="60"/>
              <w:left w:type="dxa" w:w="110"/>
              <w:bottom w:type="dxa" w:w="60"/>
              <w:right w:type="dxa" w:w="110"/>
            </w:tcMar>
            <w:vAlign w:val="top"/>
          </w:tcPr>
          <w:p>
            <w:pPr>
              <w:spacing w:after="40" w:before="40" w:line="264"/>
            </w:pPr>
            <w:r>
              <w:rPr>
                <w:b w:val="false"/>
                <w:bCs w:val="false"/>
                <w:color w:val="1F2937"/>
                <w:sz w:val="17"/>
                <w:szCs w:val="17"/>
              </w:rPr>
              <w:t xml:space="preserve">Verlängerung (nur mit Zahlungsrolle)</w:t>
            </w:r>
          </w:p>
        </w:tc>
        <w:tc>
          <w:tcPr>
            <w:tcW w:type="dxa" w:w="7518"/>
            <w:tcMar>
              <w:top w:type="dxa" w:w="60"/>
              <w:left w:type="dxa" w:w="110"/>
              <w:bottom w:type="dxa" w:w="60"/>
              <w:right w:type="dxa" w:w="110"/>
            </w:tcMar>
            <w:vAlign w:val="top"/>
          </w:tcPr>
          <w:p>
            <w:pPr>
              <w:spacing w:after="40" w:before="40" w:line="264"/>
            </w:pPr>
            <w:r>
              <w:rPr>
                <w:b w:val="false"/>
                <w:bCs w:val="false"/>
                <w:color w:val="1F2937"/>
                <w:sz w:val="17"/>
                <w:szCs w:val="17"/>
              </w:rPr>
              <w:t xml:space="preserve">Ich beabsichtige, meinen Zugang fortzuführen. / Ich werde wahrscheinlich weiter zahlen. / Bei einer neuen Entscheidung würde ich Premium wieder wählen.</w:t>
            </w:r>
          </w:p>
        </w:tc>
      </w:tr>
      <w:tr>
        <w:tc>
          <w:tcPr>
            <w:tcW w:type="dxa" w:w="2120"/>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Eigenanteil</w:t>
            </w:r>
          </w:p>
        </w:tc>
        <w:tc>
          <w:tcPr>
            <w:tcW w:type="dxa" w:w="751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0 / unter 5 / 5 bis unter 8 / 8 bis unter 12 / 12 € und mehr / keine Angabe.</w:t>
            </w:r>
          </w:p>
        </w:tc>
      </w:tr>
    </w:tbl>
    <w:p>
      <w:pPr>
        <w:pStyle w:val="Heading2"/>
        <w:spacing w:after="120" w:before="280"/>
      </w:pPr>
      <w:r>
        <w:rPr>
          <w:rFonts w:ascii="Calibri" w:cs="Calibri" w:eastAsia="Calibri" w:hAnsi="Calibri"/>
          <w:b/>
          <w:bCs/>
          <w:color w:val="1B5E43"/>
          <w:sz w:val="24"/>
          <w:szCs w:val="24"/>
        </w:rPr>
        <w:t xml:space="preserve">A.6 Wettbewerbsvorteil, Entscheidungshebel und Abschluss</w:t>
      </w:r>
    </w:p>
    <w:p>
      <w:pPr>
        <w:pStyle w:val="ListParagraph"/>
        <w:numPr>
          <w:ilvl w:val="0"/>
          <w:numId w:val="3"/>
        </w:numPr>
        <w:spacing w:after="90" w:line="288"/>
      </w:pPr>
      <w:r>
        <w:rPr>
          <w:b/>
          <w:bCs/>
          <w:color w:val="1F2937"/>
          <w:sz w:val="21"/>
          <w:szCs w:val="21"/>
        </w:rPr>
        <w:t xml:space="preserve">Wichtigkeit (1–5), prüft Kriterium 1:</w:t>
      </w:r>
      <w:r>
        <w:rPr>
          <w:color w:val="1F2937"/>
          <w:sz w:val="21"/>
          <w:szCs w:val="21"/>
        </w:rPr>
        <w:t xml:space="preserve"> Katalogumfang; Empfehlungen und Personalisierung; Werbefreiheit; Offline-Nutzung; Klangqualität; geräteübergreifende Nutzung; Hörbuchkontingent; gemeinsame Funktionen.</w:t>
      </w:r>
    </w:p>
    <w:p>
      <w:pPr>
        <w:pStyle w:val="ListParagraph"/>
        <w:numPr>
          <w:ilvl w:val="0"/>
          <w:numId w:val="3"/>
        </w:numPr>
        <w:spacing w:after="90" w:line="288"/>
      </w:pPr>
      <w:r>
        <w:rPr>
          <w:b/>
          <w:bCs/>
          <w:color w:val="1F2937"/>
          <w:sz w:val="21"/>
          <w:szCs w:val="21"/>
        </w:rPr>
        <w:t xml:space="preserve">Wahrnehmbarkeit, prüft Kriterium 2:</w:t>
      </w:r>
      <w:r>
        <w:rPr>
          <w:color w:val="1F2937"/>
          <w:sz w:val="21"/>
          <w:szCs w:val="21"/>
        </w:rPr>
        <w:t xml:space="preserve"> Wusstest du, dass Spotify Premium ein monatliches Hörbuchkontingent enthält? (ja, nutze ich / ja, nutze ich nicht / nein)</w:t>
      </w:r>
    </w:p>
    <w:p>
      <w:pPr>
        <w:pStyle w:val="ListParagraph"/>
        <w:numPr>
          <w:ilvl w:val="0"/>
          <w:numId w:val="3"/>
        </w:numPr>
        <w:spacing w:after="90" w:line="288"/>
      </w:pPr>
      <w:r>
        <w:rPr>
          <w:b/>
          <w:bCs/>
          <w:color w:val="1F2937"/>
          <w:sz w:val="21"/>
          <w:szCs w:val="21"/>
        </w:rPr>
        <w:t xml:space="preserve">Verteidigbarkeit, prüft Kriterium 3:</w:t>
      </w:r>
      <w:r>
        <w:rPr>
          <w:color w:val="1F2937"/>
          <w:sz w:val="21"/>
          <w:szCs w:val="21"/>
        </w:rPr>
        <w:t xml:space="preserve"> Ein anderer Anbieter mit gleichem Katalog kostet 2 € weniger — wie wahrscheinlich würdest du wechseln? (1–5)</w:t>
      </w:r>
    </w:p>
    <w:p>
      <w:pPr>
        <w:pStyle w:val="ListParagraph"/>
        <w:numPr>
          <w:ilvl w:val="0"/>
          <w:numId w:val="3"/>
        </w:numPr>
        <w:spacing w:after="90" w:line="288"/>
      </w:pPr>
      <w:r>
        <w:rPr>
          <w:color w:val="1F2937"/>
          <w:sz w:val="21"/>
          <w:szCs w:val="21"/>
        </w:rPr>
        <w:t xml:space="preserve">Was hält dich bei deinem Dienst? (Mehrfachauswahl: meine Playlists / die Empfehlungen / Gewohnheit / Familientarif / nichts Bestimmtes) — unterscheidet Wechselkosten aus Personalisierung von bloßer Trägheit.</w:t>
      </w:r>
    </w:p>
    <w:p>
      <w:pPr>
        <w:pStyle w:val="ListParagraph"/>
        <w:numPr>
          <w:ilvl w:val="0"/>
          <w:numId w:val="3"/>
        </w:numPr>
        <w:spacing w:after="90" w:line="288"/>
      </w:pPr>
      <w:r>
        <w:rPr>
          <w:color w:val="1F2937"/>
          <w:sz w:val="21"/>
          <w:szCs w:val="21"/>
        </w:rPr>
        <w:t xml:space="preserve">Maximal zwei Entscheidungshebel: dauerhafter Preis; Probezeitraum; Rabatt; Bündel; personalisierte Nutzenanzeige; neue Funktionen oder Inhalte; Empfehlung aus dem Umfeld; keine.</w:t>
      </w:r>
    </w:p>
    <w:p>
      <w:pPr>
        <w:pStyle w:val="ListParagraph"/>
        <w:numPr>
          <w:ilvl w:val="0"/>
          <w:numId w:val="3"/>
        </w:numPr>
        <w:spacing w:after="90" w:line="288"/>
      </w:pPr>
      <w:r>
        <w:rPr>
          <w:color w:val="1F2937"/>
          <w:sz w:val="21"/>
          <w:szCs w:val="21"/>
        </w:rPr>
        <w:t xml:space="preserve">Optionaler Freitext: Welche einzelne Änderung würde Spotify für dich attraktiver machen?</w:t>
      </w:r>
    </w:p>
    <w:p>
      <w:pPr>
        <w:pStyle w:val="ListParagraph"/>
        <w:numPr>
          <w:ilvl w:val="0"/>
          <w:numId w:val="3"/>
        </w:numPr>
        <w:spacing w:after="90" w:line="288"/>
      </w:pPr>
      <w:r>
        <w:rPr>
          <w:color w:val="1F2937"/>
          <w:sz w:val="21"/>
          <w:szCs w:val="21"/>
        </w:rPr>
        <w:t xml:space="preserve">Haupttätigkeit: Studium / Ausbildung / berufstätig / Schule / arbeitssuchend / anderes.</w:t>
      </w:r>
    </w:p>
    <w:p>
      <w:pPr>
        <w:pStyle w:val="ListParagraph"/>
        <w:numPr>
          <w:ilvl w:val="0"/>
          <w:numId w:val="3"/>
        </w:numPr>
        <w:spacing w:after="90" w:line="288"/>
      </w:pPr>
      <w:r>
        <w:rPr>
          <w:color w:val="1F2937"/>
          <w:sz w:val="21"/>
          <w:szCs w:val="21"/>
        </w:rPr>
        <w:t xml:space="preserve">Geschlecht optional. Verfügbares Budget nur erheben, wenn es tatsächlich analysiert wird.</w:t>
      </w:r>
    </w:p>
    <w:p>
      <w:r>
        <w:br w:type="page"/>
      </w:r>
    </w:p>
    <w:p>
      <w:pPr>
        <w:pStyle w:val="Heading1"/>
        <w:pBdr>
          <w:bottom w:val="single" w:color="1B5E43" w:sz="8" w:space="6"/>
        </w:pBdr>
        <w:spacing w:after="180" w:before="400"/>
      </w:pPr>
      <w:r>
        <w:rPr>
          <w:rFonts w:ascii="Calibri" w:cs="Calibri" w:eastAsia="Calibri" w:hAnsi="Calibri"/>
          <w:b/>
          <w:bCs/>
          <w:color w:val="1F2937"/>
          <w:sz w:val="30"/>
          <w:szCs w:val="30"/>
        </w:rPr>
        <w:t xml:space="preserve">Anhang B. Vorläufiges Literatur- und Quellenverzeichnis</w:t>
      </w:r>
    </w:p>
    <w:p>
      <w:pPr>
        <w:spacing w:after="160" w:line="276"/>
      </w:pPr>
      <w:r>
        <w:rPr>
          <w:i/>
          <w:iCs/>
          <w:color w:val="5B6470"/>
          <w:sz w:val="18"/>
          <w:szCs w:val="18"/>
        </w:rPr>
        <w:t xml:space="preserve">Chicago Author-Date, Arbeitsstand. Das finale Verzeichnis darf nur Quellen enthalten, die im abgegebenen Text tatsächlich zitiert und vom Team selbst gelesen wurden. Abrufdatum aller veränderlichen Webquellen: 24.08.2026. Die mit </w:t>
      </w:r>
      <w:r>
        <w:rPr>
          <w:b/>
          <w:bCs/>
          <w:i/>
          <w:iCs/>
          <w:color w:val="5B6470"/>
          <w:sz w:val="18"/>
          <w:szCs w:val="18"/>
        </w:rPr>
        <w:t xml:space="preserve"> offen </w:t>
      </w:r>
      <w:r>
        <w:rPr>
          <w:i/>
          <w:iCs/>
          <w:color w:val="5B6470"/>
          <w:sz w:val="18"/>
          <w:szCs w:val="18"/>
        </w:rPr>
        <w:t xml:space="preserve"> markierten Einträge brauchen noch Seitenzahlen aus dem Volltext.</w:t>
      </w:r>
    </w:p>
    <w:p>
      <w:pPr>
        <w:pStyle w:val="Heading2"/>
        <w:spacing w:after="120" w:before="280"/>
      </w:pPr>
      <w:r>
        <w:rPr>
          <w:rFonts w:ascii="Calibri" w:cs="Calibri" w:eastAsia="Calibri" w:hAnsi="Calibri"/>
          <w:b/>
          <w:bCs/>
          <w:color w:val="1B5E43"/>
          <w:sz w:val="24"/>
          <w:szCs w:val="24"/>
        </w:rPr>
        <w:t xml:space="preserve">B.1 Lehrbücher — Modulliteratur</w:t>
      </w:r>
    </w:p>
    <w:p>
      <w:pPr>
        <w:spacing w:after="110" w:line="264"/>
        <w:ind w:left="400" w:hanging="400"/>
      </w:pPr>
      <w:r>
        <w:rPr>
          <w:color w:val="1F2937"/>
          <w:sz w:val="19"/>
          <w:szCs w:val="19"/>
        </w:rPr>
        <w:t xml:space="preserve">Homburg, Christian. 2020. </w:t>
      </w:r>
      <w:r>
        <w:rPr>
          <w:i/>
          <w:iCs/>
          <w:color w:val="1F2937"/>
          <w:sz w:val="19"/>
          <w:szCs w:val="19"/>
        </w:rPr>
        <w:t xml:space="preserve">Grundlagen des Marketingmanagement: Einführung in Strategie, Instrumente, Umsetzung und Unternehmensführung</w:t>
      </w:r>
      <w:r>
        <w:rPr>
          <w:color w:val="1F2937"/>
          <w:sz w:val="19"/>
          <w:szCs w:val="19"/>
        </w:rPr>
        <w:t xml:space="preserve">. 6. Aufl. Wiesbaden: Springer Gabler.</w:t>
      </w:r>
    </w:p>
    <w:p>
      <w:pPr>
        <w:spacing w:after="110" w:line="264"/>
        <w:ind w:left="400" w:hanging="400"/>
      </w:pPr>
      <w:r>
        <w:rPr>
          <w:color w:val="1F2937"/>
          <w:sz w:val="19"/>
          <w:szCs w:val="19"/>
        </w:rPr>
        <w:t xml:space="preserve">Kotler, Philip, und Gary Armstrong. 2020. </w:t>
      </w:r>
      <w:r>
        <w:rPr>
          <w:i/>
          <w:iCs/>
          <w:color w:val="1F2937"/>
          <w:sz w:val="19"/>
          <w:szCs w:val="19"/>
        </w:rPr>
        <w:t xml:space="preserve">Principles of Marketing</w:t>
      </w:r>
      <w:r>
        <w:rPr>
          <w:color w:val="1F2937"/>
          <w:sz w:val="19"/>
          <w:szCs w:val="19"/>
        </w:rPr>
        <w:t xml:space="preserve">. 18th global ed. Harlow: Pearson.</w:t>
      </w:r>
    </w:p>
    <w:p>
      <w:pPr>
        <w:spacing w:after="110" w:line="264"/>
        <w:ind w:left="400" w:hanging="400"/>
      </w:pPr>
      <w:r>
        <w:rPr>
          <w:color w:val="1F2937"/>
          <w:sz w:val="19"/>
          <w:szCs w:val="19"/>
        </w:rPr>
        <w:t xml:space="preserve">Meffert, Heribert, Christoph Burmann, Manfred Kirchgeorg, und Maik Eisenbeiß. 2019. </w:t>
      </w:r>
      <w:r>
        <w:rPr>
          <w:i/>
          <w:iCs/>
          <w:color w:val="1F2937"/>
          <w:sz w:val="19"/>
          <w:szCs w:val="19"/>
        </w:rPr>
        <w:t xml:space="preserve">Marketing: Grundlagen marktorientierter Unternehmensführung. Konzepte — Instrumente — Praxisbeispiele</w:t>
      </w:r>
      <w:r>
        <w:rPr>
          <w:color w:val="1F2937"/>
          <w:sz w:val="19"/>
          <w:szCs w:val="19"/>
        </w:rPr>
        <w:t xml:space="preserve">. 13. Aufl. Wiesbaden: Springer Gabler.</w:t>
      </w:r>
    </w:p>
    <w:p>
      <w:pPr>
        <w:pStyle w:val="Heading2"/>
        <w:spacing w:after="120" w:before="280"/>
      </w:pPr>
      <w:r>
        <w:rPr>
          <w:rFonts w:ascii="Calibri" w:cs="Calibri" w:eastAsia="Calibri" w:hAnsi="Calibri"/>
          <w:b/>
          <w:bCs/>
          <w:color w:val="1B5E43"/>
          <w:sz w:val="24"/>
          <w:szCs w:val="24"/>
        </w:rPr>
        <w:t xml:space="preserve">B.2 Begutachtete Fachaufsätze</w:t>
      </w:r>
    </w:p>
    <w:p>
      <w:pPr>
        <w:spacing w:after="110" w:line="264"/>
        <w:ind w:left="400" w:hanging="400"/>
      </w:pPr>
      <w:r>
        <w:rPr>
          <w:color w:val="1F2937"/>
          <w:sz w:val="19"/>
          <w:szCs w:val="19"/>
        </w:rPr>
        <w:t xml:space="preserve">Aguiar, Luis. 2017. „Let the Music Play? Free Streaming and Its Effects on Digital Music Consumption." </w:t>
      </w:r>
      <w:r>
        <w:rPr>
          <w:i/>
          <w:iCs/>
          <w:color w:val="1F2937"/>
          <w:sz w:val="19"/>
          <w:szCs w:val="19"/>
        </w:rPr>
        <w:t xml:space="preserve">Information Economics and Policy</w:t>
      </w:r>
      <w:r>
        <w:rPr>
          <w:color w:val="1F2937"/>
          <w:sz w:val="19"/>
          <w:szCs w:val="19"/>
        </w:rPr>
        <w:t xml:space="preserve"> 41: 1–14. https://doi.org/10.1016/j.infoecopol.2017.06.002</w:t>
      </w:r>
    </w:p>
    <w:p>
      <w:pPr>
        <w:spacing w:after="110" w:line="264"/>
        <w:ind w:left="400" w:hanging="400"/>
      </w:pPr>
      <w:r>
        <w:rPr>
          <w:color w:val="1F2937"/>
          <w:sz w:val="19"/>
          <w:szCs w:val="19"/>
        </w:rPr>
        <w:t xml:space="preserve">Armstrong, Mark. 2006. „Competition in Two-Sided Markets." </w:t>
      </w:r>
      <w:r>
        <w:rPr>
          <w:i/>
          <w:iCs/>
          <w:color w:val="1F2937"/>
          <w:sz w:val="19"/>
          <w:szCs w:val="19"/>
        </w:rPr>
        <w:t xml:space="preserve">RAND Journal of Economics</w:t>
      </w:r>
      <w:r>
        <w:rPr>
          <w:color w:val="1F2937"/>
          <w:sz w:val="19"/>
          <w:szCs w:val="19"/>
        </w:rPr>
        <w:t xml:space="preserve"> 37 (3): 668–691. https://doi.org/10.1111/j.1756-2171.2006.tb00037.x</w:t>
      </w:r>
    </w:p>
    <w:p>
      <w:pPr>
        <w:spacing w:after="110" w:line="264"/>
        <w:ind w:left="400" w:hanging="400"/>
      </w:pPr>
      <w:r>
        <w:rPr>
          <w:color w:val="1F2937"/>
          <w:sz w:val="19"/>
          <w:szCs w:val="19"/>
        </w:rPr>
        <w:t xml:space="preserve">Bhattacherjee, Anol. 2001. „Understanding Information Systems Continuance: An Expectation-Confirmation Model." </w:t>
      </w:r>
      <w:r>
        <w:rPr>
          <w:i/>
          <w:iCs/>
          <w:color w:val="1F2937"/>
          <w:sz w:val="19"/>
          <w:szCs w:val="19"/>
        </w:rPr>
        <w:t xml:space="preserve">MIS Quarterly</w:t>
      </w:r>
      <w:r>
        <w:rPr>
          <w:color w:val="1F2937"/>
          <w:sz w:val="19"/>
          <w:szCs w:val="19"/>
        </w:rPr>
        <w:t xml:space="preserve"> 25 (3): 351–370. https://doi.org/10.2307/3250921</w:t>
      </w:r>
    </w:p>
    <w:p>
      <w:pPr>
        <w:spacing w:after="110" w:line="264"/>
        <w:ind w:left="400" w:hanging="400"/>
      </w:pPr>
      <w:r>
        <w:rPr>
          <w:color w:val="1F2937"/>
          <w:sz w:val="19"/>
          <w:szCs w:val="19"/>
        </w:rPr>
        <w:t xml:space="preserve">Datta, Hannes, George Knox, und Bart J. Bronnenberg. 2018. „Changing Their Tune: How Consumers’ Adoption of Online Streaming Affects Music Consumption and Discovery." </w:t>
      </w:r>
      <w:r>
        <w:rPr>
          <w:i/>
          <w:iCs/>
          <w:color w:val="1F2937"/>
          <w:sz w:val="19"/>
          <w:szCs w:val="19"/>
        </w:rPr>
        <w:t xml:space="preserve">Marketing Science</w:t>
      </w:r>
      <w:r>
        <w:rPr>
          <w:color w:val="1F2937"/>
          <w:sz w:val="19"/>
          <w:szCs w:val="19"/>
        </w:rPr>
        <w:t xml:space="preserve"> 37 (1): 5–21. https://doi.org/10.1287/mksc.2017.1051</w:t>
      </w:r>
    </w:p>
    <w:p>
      <w:pPr>
        <w:spacing w:after="110" w:line="264"/>
        <w:ind w:left="400" w:hanging="400"/>
      </w:pPr>
      <w:r>
        <w:rPr>
          <w:color w:val="1F2937"/>
          <w:sz w:val="19"/>
          <w:szCs w:val="19"/>
        </w:rPr>
        <w:t xml:space="preserve">Hamari, Juho, Nicolai Hanner, und Jonna Koivisto. 2017. „Service Quality Explains Why People Use Freemium Services but Not If They Go Premium." </w:t>
      </w:r>
      <w:r>
        <w:rPr>
          <w:i/>
          <w:iCs/>
          <w:color w:val="1F2937"/>
          <w:sz w:val="19"/>
          <w:szCs w:val="19"/>
        </w:rPr>
        <w:t xml:space="preserve">International Journal of Information Management</w:t>
      </w:r>
      <w:r>
        <w:rPr>
          <w:color w:val="1F2937"/>
          <w:sz w:val="19"/>
          <w:szCs w:val="19"/>
        </w:rPr>
        <w:t xml:space="preserve"> 37 (1): 1449–1459. https://doi.org/10.1016/j.ijinfomgt.2016.09.004</w:t>
      </w:r>
    </w:p>
    <w:p>
      <w:pPr>
        <w:spacing w:after="110" w:line="264"/>
        <w:ind w:left="400" w:hanging="400"/>
      </w:pPr>
      <w:r>
        <w:rPr>
          <w:color w:val="1F2937"/>
          <w:sz w:val="19"/>
          <w:szCs w:val="19"/>
        </w:rPr>
        <w:t xml:space="preserve">Hosanagar, Kartik, Daniel Fleder, Dokyun Lee, und Andreas Buja. 2014. „Will the Global Village Fracture into Tribes? Recommender Systems and Their Effects on Consumer Fragmentation." </w:t>
      </w:r>
      <w:r>
        <w:rPr>
          <w:i/>
          <w:iCs/>
          <w:color w:val="1F2937"/>
          <w:sz w:val="19"/>
          <w:szCs w:val="19"/>
        </w:rPr>
        <w:t xml:space="preserve">Management Science</w:t>
      </w:r>
      <w:r>
        <w:rPr>
          <w:color w:val="1F2937"/>
          <w:sz w:val="19"/>
          <w:szCs w:val="19"/>
        </w:rPr>
        <w:t xml:space="preserve"> 60 (4): 805–823. https://doi.org/10.1287/mnsc.2013.1808</w:t>
      </w:r>
    </w:p>
    <w:p>
      <w:pPr>
        <w:spacing w:after="110" w:line="264"/>
        <w:ind w:left="400" w:hanging="400"/>
      </w:pPr>
      <w:r>
        <w:rPr>
          <w:color w:val="1F2937"/>
          <w:sz w:val="19"/>
          <w:szCs w:val="19"/>
        </w:rPr>
        <w:t xml:space="preserve">Mäntymäki, Matti, A. K. M. Najmul Islam, und Izak Benbasat. 2020. „What Drives Subscribing to Premium in Freemium Services? A Consumer Value-Based View of Differences between Upgrading to and Staying with Premium." </w:t>
      </w:r>
      <w:r>
        <w:rPr>
          <w:i/>
          <w:iCs/>
          <w:color w:val="1F2937"/>
          <w:sz w:val="19"/>
          <w:szCs w:val="19"/>
        </w:rPr>
        <w:t xml:space="preserve">Information Systems Journal</w:t>
      </w:r>
      <w:r>
        <w:rPr>
          <w:color w:val="1F2937"/>
          <w:sz w:val="19"/>
          <w:szCs w:val="19"/>
        </w:rPr>
        <w:t xml:space="preserve"> 30 (2): 295–333. https://doi.org/10.1111/isj.12262</w:t>
      </w:r>
    </w:p>
    <w:p>
      <w:pPr>
        <w:spacing w:after="110" w:line="264"/>
        <w:ind w:left="400" w:hanging="400"/>
      </w:pPr>
      <w:r>
        <w:rPr>
          <w:color w:val="1F2937"/>
          <w:sz w:val="19"/>
          <w:szCs w:val="19"/>
        </w:rPr>
        <w:t xml:space="preserve">Riedel, Aimee, Rory Mulcahy, Amanda Beatson, und Clinton Weeks. 2025. „Advertising in Freemium Services: Lack of Control and Intrusion as the Price Consumers Pay." </w:t>
      </w:r>
      <w:r>
        <w:rPr>
          <w:i/>
          <w:iCs/>
          <w:color w:val="1F2937"/>
          <w:sz w:val="19"/>
          <w:szCs w:val="19"/>
        </w:rPr>
        <w:t xml:space="preserve">Journal of Advertising</w:t>
      </w:r>
      <w:r>
        <w:rPr>
          <w:color w:val="1F2937"/>
          <w:sz w:val="19"/>
          <w:szCs w:val="19"/>
        </w:rPr>
        <w:t xml:space="preserve"> 54 (3): 322–341. https://doi.org/10.1080/00913367.2024.2393078</w:t>
      </w:r>
    </w:p>
    <w:p>
      <w:pPr>
        <w:spacing w:after="110" w:line="264"/>
        <w:ind w:left="400" w:hanging="400"/>
      </w:pPr>
      <w:r>
        <w:rPr>
          <w:color w:val="1F2937"/>
          <w:sz w:val="19"/>
          <w:szCs w:val="19"/>
        </w:rPr>
        <w:t xml:space="preserve">Rochet, Jean-Charles, und Jean Tirole. 2003. „Platform Competition in Two-Sided Markets." </w:t>
      </w:r>
      <w:r>
        <w:rPr>
          <w:i/>
          <w:iCs/>
          <w:color w:val="1F2937"/>
          <w:sz w:val="19"/>
          <w:szCs w:val="19"/>
        </w:rPr>
        <w:t xml:space="preserve">Journal of the European Economic Association</w:t>
      </w:r>
      <w:r>
        <w:rPr>
          <w:color w:val="1F2937"/>
          <w:sz w:val="19"/>
          <w:szCs w:val="19"/>
        </w:rPr>
        <w:t xml:space="preserve"> 1 (4): 990–1029. https://doi.org/10.1162/154247603322493212</w:t>
      </w:r>
    </w:p>
    <w:p>
      <w:pPr>
        <w:spacing w:after="110" w:line="264"/>
        <w:ind w:left="400" w:hanging="400"/>
      </w:pPr>
      <w:r>
        <w:rPr>
          <w:color w:val="1F2937"/>
          <w:sz w:val="19"/>
          <w:szCs w:val="19"/>
        </w:rPr>
        <w:t xml:space="preserve">Seifert, R., J. Denk, M. Clement, M. Kandziora, und J. Meyn. 2024. „Conversion in Music Streaming Services." </w:t>
      </w:r>
      <w:r>
        <w:rPr>
          <w:i/>
          <w:iCs/>
          <w:color w:val="1F2937"/>
          <w:sz w:val="19"/>
          <w:szCs w:val="19"/>
        </w:rPr>
        <w:t xml:space="preserve">Journal of Interactive Marketing</w:t>
      </w:r>
      <w:r>
        <w:rPr>
          <w:color w:val="1F2937"/>
          <w:sz w:val="19"/>
          <w:szCs w:val="19"/>
        </w:rPr>
        <w:t xml:space="preserve"> 59 (2): 201–219. https://doi.org/10.1177/10949968231186950 </w:t>
      </w:r>
      <w:r>
        <w:rPr>
          <w:b/>
          <w:bCs/>
          <w:color w:val="1F2937"/>
          <w:sz w:val="19"/>
          <w:szCs w:val="19"/>
        </w:rPr>
        <w:t xml:space="preserve">Vornamen am Volltext prüfen.</w:t>
      </w:r>
    </w:p>
    <w:p>
      <w:pPr>
        <w:spacing w:after="110" w:line="264"/>
        <w:ind w:left="400" w:hanging="400"/>
      </w:pPr>
      <w:r>
        <w:rPr>
          <w:color w:val="1F2937"/>
          <w:sz w:val="19"/>
          <w:szCs w:val="19"/>
        </w:rPr>
        <w:t xml:space="preserve">Tyrväinen, Olli, und Heikki Karjaluoto. 2024. „Willingness to Pay for Freemium Services: Addressing the Differences between Monetization Strategies." </w:t>
      </w:r>
      <w:r>
        <w:rPr>
          <w:i/>
          <w:iCs/>
          <w:color w:val="1F2937"/>
          <w:sz w:val="19"/>
          <w:szCs w:val="19"/>
        </w:rPr>
        <w:t xml:space="preserve">International Journal of Information Management</w:t>
      </w:r>
      <w:r>
        <w:rPr>
          <w:color w:val="1F2937"/>
          <w:sz w:val="19"/>
          <w:szCs w:val="19"/>
        </w:rPr>
        <w:t xml:space="preserve"> 77: 102787. https://doi.org/10.1016/j.ijinfomgt.2024.102787</w:t>
      </w:r>
    </w:p>
    <w:p>
      <w:pPr>
        <w:spacing w:after="110" w:line="264"/>
        <w:ind w:left="400" w:hanging="400"/>
      </w:pPr>
      <w:r>
        <w:rPr>
          <w:color w:val="1F2937"/>
          <w:sz w:val="19"/>
          <w:szCs w:val="19"/>
        </w:rPr>
        <w:t xml:space="preserve">Wagner, Thomas M., Alexander Benlian, und Thomas Hess. 2014. „Converting Freemium Customers from Free to Premium — The Role of the Perceived Premium Fit in the Case of Music as a Service." </w:t>
      </w:r>
      <w:r>
        <w:rPr>
          <w:i/>
          <w:iCs/>
          <w:color w:val="1F2937"/>
          <w:sz w:val="19"/>
          <w:szCs w:val="19"/>
        </w:rPr>
        <w:t xml:space="preserve">Electronic Markets</w:t>
      </w:r>
      <w:r>
        <w:rPr>
          <w:color w:val="1F2937"/>
          <w:sz w:val="19"/>
          <w:szCs w:val="19"/>
        </w:rPr>
        <w:t xml:space="preserve"> 24 (4): 259–268. https://doi.org/10.1007/s12525-014-0168-4</w:t>
      </w:r>
    </w:p>
    <w:p>
      <w:pPr>
        <w:spacing w:after="110" w:line="264"/>
        <w:ind w:left="400" w:hanging="400"/>
      </w:pPr>
      <w:r>
        <w:rPr>
          <w:color w:val="1F2937"/>
          <w:sz w:val="19"/>
          <w:szCs w:val="19"/>
        </w:rPr>
        <w:t xml:space="preserve">Wlömert, Nils, und Dominik Papies. 2016. „On-Demand Streaming Services and Music Industry Revenues — Insights from Spotify’s Market Entry." </w:t>
      </w:r>
      <w:r>
        <w:rPr>
          <w:i/>
          <w:iCs/>
          <w:color w:val="1F2937"/>
          <w:sz w:val="19"/>
          <w:szCs w:val="19"/>
        </w:rPr>
        <w:t xml:space="preserve">International Journal of Research in Marketing</w:t>
      </w:r>
      <w:r>
        <w:rPr>
          <w:color w:val="1F2937"/>
          <w:sz w:val="19"/>
          <w:szCs w:val="19"/>
        </w:rPr>
        <w:t xml:space="preserve"> 33 (2): 314–327. https://doi.org/10.1016/j.ijresmar.2015.11.002</w:t>
      </w:r>
    </w:p>
    <w:p>
      <w:pPr>
        <w:spacing w:after="110" w:line="264"/>
        <w:ind w:left="400" w:hanging="400"/>
      </w:pPr>
      <w:r>
        <w:rPr>
          <w:color w:val="1F2937"/>
          <w:sz w:val="19"/>
          <w:szCs w:val="19"/>
        </w:rPr>
        <w:t xml:space="preserve">Xia, Lan, Kent B. Monroe, und Jennifer L. Cox. 2004. „The Price Is Unfair! A Conceptual Framework of Price Fairness Perceptions." </w:t>
      </w:r>
      <w:r>
        <w:rPr>
          <w:i/>
          <w:iCs/>
          <w:color w:val="1F2937"/>
          <w:sz w:val="19"/>
          <w:szCs w:val="19"/>
        </w:rPr>
        <w:t xml:space="preserve">Journal of Marketing</w:t>
      </w:r>
      <w:r>
        <w:rPr>
          <w:color w:val="1F2937"/>
          <w:sz w:val="19"/>
          <w:szCs w:val="19"/>
        </w:rPr>
        <w:t xml:space="preserve"> 68 (4): 1–15. https://doi.org/10.1509/jmkg.68.4.1.42733</w:t>
      </w:r>
    </w:p>
    <w:p>
      <w:pPr>
        <w:spacing w:after="110" w:line="264"/>
        <w:ind w:left="400" w:hanging="400"/>
      </w:pPr>
      <w:r>
        <w:rPr>
          <w:color w:val="1F2937"/>
          <w:sz w:val="19"/>
          <w:szCs w:val="19"/>
        </w:rPr>
        <w:t xml:space="preserve">Zeithaml, Valarie A. 1988. „Consumer Perceptions of Price, Quality, and Value: A Means-End Model and Synthesis of Evidence." </w:t>
      </w:r>
      <w:r>
        <w:rPr>
          <w:i/>
          <w:iCs/>
          <w:color w:val="1F2937"/>
          <w:sz w:val="19"/>
          <w:szCs w:val="19"/>
        </w:rPr>
        <w:t xml:space="preserve">Journal of Marketing</w:t>
      </w:r>
      <w:r>
        <w:rPr>
          <w:color w:val="1F2937"/>
          <w:sz w:val="19"/>
          <w:szCs w:val="19"/>
        </w:rPr>
        <w:t xml:space="preserve"> 52 (3): 2–22. https://doi.org/10.1177/002224298805200302</w:t>
      </w:r>
    </w:p>
    <w:p>
      <w:pPr>
        <w:pStyle w:val="Heading2"/>
        <w:spacing w:after="120" w:before="280"/>
      </w:pPr>
      <w:r>
        <w:rPr>
          <w:rFonts w:ascii="Calibri" w:cs="Calibri" w:eastAsia="Calibri" w:hAnsi="Calibri"/>
          <w:b/>
          <w:bCs/>
          <w:color w:val="1B5E43"/>
          <w:sz w:val="24"/>
          <w:szCs w:val="24"/>
        </w:rPr>
        <w:t xml:space="preserve">B.3 Hochschuldokumente</w:t>
      </w:r>
    </w:p>
    <w:p>
      <w:pPr>
        <w:spacing w:after="110" w:line="264"/>
        <w:ind w:left="400" w:hanging="400"/>
      </w:pPr>
      <w:r>
        <w:rPr>
          <w:color w:val="1F2937"/>
          <w:sz w:val="19"/>
          <w:szCs w:val="19"/>
        </w:rPr>
        <w:t xml:space="preserve">HSBA Hamburg School of Business Administration. 2025. </w:t>
      </w:r>
      <w:r>
        <w:rPr>
          <w:i/>
          <w:iCs/>
          <w:color w:val="1F2937"/>
          <w:sz w:val="19"/>
          <w:szCs w:val="19"/>
        </w:rPr>
        <w:t xml:space="preserve">Rules and Guidelines for Written Assignments and Theses</w:t>
      </w:r>
      <w:r>
        <w:rPr>
          <w:color w:val="1F2937"/>
          <w:sz w:val="19"/>
          <w:szCs w:val="19"/>
        </w:rPr>
        <w:t xml:space="preserve">. Update August 2025. Internes Hochschuldokument.</w:t>
      </w:r>
    </w:p>
    <w:p>
      <w:pPr>
        <w:spacing w:after="110" w:line="264"/>
        <w:ind w:left="400" w:hanging="400"/>
      </w:pPr>
      <w:r>
        <w:rPr>
          <w:color w:val="1F2937"/>
          <w:sz w:val="19"/>
          <w:szCs w:val="19"/>
        </w:rPr>
        <w:t xml:space="preserve">HSBA Hamburg School of Business Administration. 2026. </w:t>
      </w:r>
      <w:r>
        <w:rPr>
          <w:i/>
          <w:iCs/>
          <w:color w:val="1F2937"/>
          <w:sz w:val="19"/>
          <w:szCs w:val="19"/>
        </w:rPr>
        <w:t xml:space="preserve">Leitfaden zur Anfertigung des Praxisberichts im Modul Marketing Management</w:t>
      </w:r>
      <w:r>
        <w:rPr>
          <w:color w:val="1F2937"/>
          <w:sz w:val="19"/>
          <w:szCs w:val="19"/>
        </w:rPr>
        <w:t xml:space="preserve">. Internes Hochschuldokument.</w:t>
      </w:r>
    </w:p>
    <w:p>
      <w:pPr>
        <w:pStyle w:val="Heading2"/>
        <w:spacing w:after="120" w:before="280"/>
      </w:pPr>
      <w:r>
        <w:rPr>
          <w:rFonts w:ascii="Calibri" w:cs="Calibri" w:eastAsia="Calibri" w:hAnsi="Calibri"/>
          <w:b/>
          <w:bCs/>
          <w:color w:val="1B5E43"/>
          <w:sz w:val="24"/>
          <w:szCs w:val="24"/>
        </w:rPr>
        <w:t xml:space="preserve">B.4 Markt-, Branchen- und Unternehmensquellen</w:t>
      </w:r>
    </w:p>
    <w:p>
      <w:pPr>
        <w:spacing w:after="110" w:line="264"/>
        <w:ind w:left="400" w:hanging="400"/>
      </w:pPr>
      <w:r>
        <w:rPr>
          <w:color w:val="1F2937"/>
          <w:sz w:val="19"/>
          <w:szCs w:val="19"/>
        </w:rPr>
        <w:t xml:space="preserve">Bitkom. 2025. „Musik, Podcast, Hörbuch: 8 von 10 streamen Audios." Presseinformation, 22. Januar 2025. Erhebungszeitraum KW 13–18/2024, n = 1.149, ab 16 Jahren. https://www.bitkom.org/Presse/Presseinformation/Musik-Podcast-Hoerbuch-8-von-10-streamen-Audios</w:t>
      </w:r>
    </w:p>
    <w:p>
      <w:pPr>
        <w:spacing w:after="110" w:line="264"/>
        <w:ind w:left="400" w:hanging="400"/>
      </w:pPr>
      <w:r>
        <w:rPr>
          <w:color w:val="1F2937"/>
          <w:sz w:val="19"/>
          <w:szCs w:val="19"/>
        </w:rPr>
        <w:t xml:space="preserve">Bundesverband Musikindustrie. 2026. </w:t>
      </w:r>
      <w:r>
        <w:rPr>
          <w:i/>
          <w:iCs/>
          <w:color w:val="1F2937"/>
          <w:sz w:val="19"/>
          <w:szCs w:val="19"/>
        </w:rPr>
        <w:t xml:space="preserve">Musikindustrie in Zahlen 2025</w:t>
      </w:r>
      <w:r>
        <w:rPr>
          <w:color w:val="1F2937"/>
          <w:sz w:val="19"/>
          <w:szCs w:val="19"/>
        </w:rPr>
        <w:t xml:space="preserve">. Berlin: BVMI.</w:t>
      </w:r>
    </w:p>
    <w:p>
      <w:pPr>
        <w:spacing w:after="110" w:line="264"/>
        <w:ind w:left="400" w:hanging="400"/>
      </w:pPr>
      <w:r>
        <w:rPr>
          <w:color w:val="1F2937"/>
          <w:sz w:val="19"/>
          <w:szCs w:val="19"/>
        </w:rPr>
        <w:t xml:space="preserve">International Federation of the Phonographic Industry. 2026. </w:t>
      </w:r>
      <w:r>
        <w:rPr>
          <w:i/>
          <w:iCs/>
          <w:color w:val="1F2937"/>
          <w:sz w:val="19"/>
          <w:szCs w:val="19"/>
        </w:rPr>
        <w:t xml:space="preserve">Global Music Report 2026: State of the Industry</w:t>
      </w:r>
      <w:r>
        <w:rPr>
          <w:color w:val="1F2937"/>
          <w:sz w:val="19"/>
          <w:szCs w:val="19"/>
        </w:rPr>
        <w:t xml:space="preserve">. London: IFPI.</w:t>
      </w:r>
    </w:p>
    <w:p>
      <w:pPr>
        <w:spacing w:after="110" w:line="264"/>
        <w:ind w:left="400" w:hanging="400"/>
      </w:pPr>
      <w:r>
        <w:rPr>
          <w:color w:val="1F2937"/>
          <w:sz w:val="19"/>
          <w:szCs w:val="19"/>
        </w:rPr>
        <w:t xml:space="preserve">Müller, Thorsten. 2025. „Spotify und YouTube dominieren weiter den Markt der Audioplattformen." </w:t>
      </w:r>
      <w:r>
        <w:rPr>
          <w:i/>
          <w:iCs/>
          <w:color w:val="1F2937"/>
          <w:sz w:val="19"/>
          <w:szCs w:val="19"/>
        </w:rPr>
        <w:t xml:space="preserve">Media Perspektiven</w:t>
      </w:r>
      <w:r>
        <w:rPr>
          <w:color w:val="1F2937"/>
          <w:sz w:val="19"/>
          <w:szCs w:val="19"/>
        </w:rPr>
        <w:t xml:space="preserve"> 33/2025. https://www.media-perspektiven.de</w:t>
      </w:r>
    </w:p>
    <w:p>
      <w:pPr>
        <w:spacing w:after="110" w:line="264"/>
        <w:ind w:left="400" w:hanging="400"/>
      </w:pPr>
      <w:r>
        <w:rPr>
          <w:color w:val="1F2937"/>
          <w:sz w:val="19"/>
          <w:szCs w:val="19"/>
        </w:rPr>
        <w:t xml:space="preserve">Spotify Technology S.A. 2026a. </w:t>
      </w:r>
      <w:r>
        <w:rPr>
          <w:i/>
          <w:iCs/>
          <w:color w:val="1F2937"/>
          <w:sz w:val="19"/>
          <w:szCs w:val="19"/>
        </w:rPr>
        <w:t xml:space="preserve">Report of Foreign Private Issuer, Quarter Ended June 30, 2026</w:t>
      </w:r>
      <w:r>
        <w:rPr>
          <w:color w:val="1F2937"/>
          <w:sz w:val="19"/>
          <w:szCs w:val="19"/>
        </w:rPr>
        <w:t xml:space="preserve">. Form 6-K, eingereicht am 4. August 2026. U.S. Securities and Exchange Commission.</w:t>
      </w:r>
    </w:p>
    <w:p>
      <w:pPr>
        <w:spacing w:after="110" w:line="264"/>
        <w:ind w:left="400" w:hanging="400"/>
      </w:pPr>
      <w:r>
        <w:rPr>
          <w:color w:val="1F2937"/>
          <w:sz w:val="19"/>
          <w:szCs w:val="19"/>
        </w:rPr>
        <w:t xml:space="preserve">Spotify Technology S.A. 2026b. </w:t>
      </w:r>
      <w:r>
        <w:rPr>
          <w:i/>
          <w:iCs/>
          <w:color w:val="1F2937"/>
          <w:sz w:val="19"/>
          <w:szCs w:val="19"/>
        </w:rPr>
        <w:t xml:space="preserve">Annual Report for the Fiscal Year Ended December 31, 2025</w:t>
      </w:r>
      <w:r>
        <w:rPr>
          <w:color w:val="1F2937"/>
          <w:sz w:val="19"/>
          <w:szCs w:val="19"/>
        </w:rPr>
        <w:t xml:space="preserve">. Form 20-F, eingereicht am 10. Februar 2026. U.S. Securities and Exchange Commission.</w:t>
      </w:r>
    </w:p>
    <w:p>
      <w:pPr>
        <w:spacing w:after="110" w:line="264"/>
        <w:ind w:left="400" w:hanging="400"/>
      </w:pPr>
      <w:r>
        <w:rPr>
          <w:color w:val="1F2937"/>
          <w:sz w:val="19"/>
          <w:szCs w:val="19"/>
        </w:rPr>
        <w:t xml:space="preserve">Spotify Technology S.A. 2026c. „Spotify’s 2026 Investor Day Recap." Newsroom, 21. Mai 2026. </w:t>
      </w:r>
      <w:r>
        <w:rPr>
          <w:i/>
          <w:iCs/>
          <w:color w:val="1F2937"/>
          <w:sz w:val="19"/>
          <w:szCs w:val="19"/>
        </w:rPr>
        <w:t xml:space="preserve">Unternehmenskommunikation — nur für Angebotsmerkmale, nicht für Bewertungen.</w:t>
      </w:r>
    </w:p>
    <w:p>
      <w:pPr>
        <w:pStyle w:val="Heading2"/>
        <w:spacing w:after="120" w:before="280"/>
      </w:pPr>
      <w:r>
        <w:rPr>
          <w:rFonts w:ascii="Calibri" w:cs="Calibri" w:eastAsia="Calibri" w:hAnsi="Calibri"/>
          <w:b/>
          <w:bCs/>
          <w:color w:val="1B5E43"/>
          <w:sz w:val="24"/>
          <w:szCs w:val="24"/>
        </w:rPr>
        <w:t xml:space="preserve">B.5 Dynamische Quellen — vor Abgabe erneut prüfen und archivieren</w:t>
      </w:r>
    </w:p>
    <w:p>
      <w:pPr>
        <w:spacing w:after="110" w:line="264"/>
        <w:ind w:left="400" w:hanging="400"/>
      </w:pPr>
      <w:r>
        <w:rPr>
          <w:color w:val="1F2937"/>
          <w:sz w:val="19"/>
          <w:szCs w:val="19"/>
        </w:rPr>
        <w:t xml:space="preserve">Amazon Music. 2026. „Amazon Music Unlimited." Deutsche Angebotsseite. </w:t>
      </w:r>
      <w:r>
        <w:rPr>
          <w:i/>
          <w:iCs/>
          <w:color w:val="1F2937"/>
          <w:sz w:val="19"/>
          <w:szCs w:val="19"/>
        </w:rPr>
        <w:t xml:space="preserve">Primärbeleg steht aus; automatisierte Abrufe werden blockiert.</w:t>
      </w:r>
    </w:p>
    <w:p>
      <w:pPr>
        <w:spacing w:after="110" w:line="264"/>
        <w:ind w:left="400" w:hanging="400"/>
      </w:pPr>
      <w:r>
        <w:rPr>
          <w:color w:val="1F2937"/>
          <w:sz w:val="19"/>
          <w:szCs w:val="19"/>
        </w:rPr>
        <w:t xml:space="preserve">Apple. 2026. „Apple Music." Deutsche Angebotsseite. https://www.apple.com/de/apple-music/</w:t>
      </w:r>
    </w:p>
    <w:p>
      <w:pPr>
        <w:spacing w:after="110" w:line="264"/>
        <w:ind w:left="400" w:hanging="400"/>
      </w:pPr>
      <w:r>
        <w:rPr>
          <w:color w:val="1F2937"/>
          <w:sz w:val="19"/>
          <w:szCs w:val="19"/>
        </w:rPr>
        <w:t xml:space="preserve">Deezer. 2026. „Deezer Premium." Deutsche Angebotsseite.</w:t>
      </w:r>
    </w:p>
    <w:p>
      <w:pPr>
        <w:spacing w:after="110" w:line="264"/>
        <w:ind w:left="400" w:hanging="400"/>
      </w:pPr>
      <w:r>
        <w:rPr>
          <w:color w:val="1F2937"/>
          <w:sz w:val="19"/>
          <w:szCs w:val="19"/>
        </w:rPr>
        <w:t xml:space="preserve">Spotify AB. 2026. „Spotify Premium." Deutsche Angebotsseite, abgerufen am 24. August 2026. https://www.spotify.com/de/premium/</w:t>
      </w:r>
    </w:p>
    <w:p>
      <w:pPr>
        <w:spacing w:after="110" w:line="264"/>
        <w:ind w:left="400" w:hanging="400"/>
      </w:pPr>
      <w:r>
        <w:rPr>
          <w:color w:val="1F2937"/>
          <w:sz w:val="19"/>
          <w:szCs w:val="19"/>
        </w:rPr>
        <w:t xml:space="preserve">Tidal. 2026. „Tidal Abonnements." Deutsche Angebotsseite.</w:t>
      </w:r>
    </w:p>
    <w:p>
      <w:pPr>
        <w:spacing w:after="110" w:line="264"/>
        <w:ind w:left="400" w:hanging="400"/>
      </w:pPr>
      <w:r>
        <w:rPr>
          <w:color w:val="1F2937"/>
          <w:sz w:val="19"/>
          <w:szCs w:val="19"/>
        </w:rPr>
        <w:t xml:space="preserve">Vodafone. 2026. „Amazon Music: Die Kosten für 2026 im Überblick." 5. Januar 2026. </w:t>
      </w:r>
      <w:r>
        <w:rPr>
          <w:i/>
          <w:iCs/>
          <w:color w:val="1F2937"/>
          <w:sz w:val="19"/>
          <w:szCs w:val="19"/>
        </w:rPr>
        <w:t xml:space="preserve">Sekundärquelle für die Amazon-Preise, bis der Primärbeleg vorliegt.</w:t>
      </w:r>
      <w:r>
        <w:rPr>
          <w:color w:val="1F2937"/>
          <w:sz w:val="19"/>
          <w:szCs w:val="19"/>
        </w:rPr>
        <w:t xml:space="preserve"> https://www.vodafone.de/featured/article/amazon-music-unlimited-kosten-im-ueberblick-216471</w:t>
      </w:r>
    </w:p>
    <w:p>
      <w:pPr>
        <w:spacing w:after="110" w:line="264"/>
        <w:ind w:left="400" w:hanging="400"/>
      </w:pPr>
      <w:r>
        <w:rPr>
          <w:color w:val="1F2937"/>
          <w:sz w:val="19"/>
          <w:szCs w:val="19"/>
        </w:rPr>
        <w:t xml:space="preserve">YouTube. 2026. „YouTube Music Premium." Deutsche Preisseite.</w:t>
      </w:r>
    </w:p>
    <w:p>
      <w:r>
        <w:br w:type="page"/>
      </w:r>
    </w:p>
    <w:p>
      <w:pPr>
        <w:pStyle w:val="Heading1"/>
        <w:pBdr>
          <w:bottom w:val="single" w:color="1B5E43" w:sz="8" w:space="6"/>
        </w:pBdr>
        <w:spacing w:after="180" w:before="400"/>
      </w:pPr>
      <w:r>
        <w:rPr>
          <w:rFonts w:ascii="Calibri" w:cs="Calibri" w:eastAsia="Calibri" w:hAnsi="Calibri"/>
          <w:b/>
          <w:bCs/>
          <w:color w:val="1F2937"/>
          <w:sz w:val="30"/>
          <w:szCs w:val="30"/>
        </w:rPr>
        <w:t xml:space="preserve">Anhang C. KI-Dokumentation</w:t>
      </w:r>
    </w:p>
    <w:p>
      <w:pPr>
        <w:spacing w:after="140" w:line="288"/>
      </w:pPr>
      <w:r>
        <w:rPr>
          <w:color w:val="1F2937"/>
          <w:sz w:val="21"/>
          <w:szCs w:val="21"/>
        </w:rPr>
        <w:t xml:space="preserve">Dieser Anhang ist ein Sicherungsprotokoll für den Arbeitsstand. Im finalen Bericht sind nur die tatsächlich übernommenen KI-Nutzungen zu dokumentieren, dafür vollständig, positionsbezogen und nach den HSBA-Vorgaben. Reine Übersetzung oder Rechtschreibkorrektur wird nach den Regeln anders behandelt. </w:t>
      </w:r>
      <w:r>
        <w:rPr>
          <w:b/>
          <w:bCs/>
          <w:color w:val="1F2937"/>
          <w:sz w:val="21"/>
          <w:szCs w:val="21"/>
        </w:rPr>
        <w:t xml:space="preserve">Die Liste muss beide Werkzeuge führen</w:t>
      </w:r>
      <w:r>
        <w:rPr>
          <w:color w:val="1F2937"/>
          <w:sz w:val="21"/>
          <w:szCs w:val="21"/>
        </w:rPr>
        <w:t xml:space="preserve"> — Arbeitsstand 1 dokumentierte nur den Codex-Auftrag.</w:t>
      </w:r>
    </w:p>
    <w:tbl>
      <w:tblPr>
        <w:tblW w:type="dxa" w:w="9638"/>
        <w:tblBorders>
          <w:top w:val="single" w:color="C9D4CD" w:sz="4"/>
          <w:left w:val="single" w:color="C9D4CD" w:sz="4"/>
          <w:bottom w:val="single" w:color="C9D4CD" w:sz="4"/>
          <w:right w:val="single" w:color="C9D4CD" w:sz="4"/>
          <w:insideH w:val="single" w:color="DCE4DE" w:sz="2"/>
          <w:insideV w:val="single" w:color="DCE4DE" w:sz="2"/>
        </w:tblBorders>
      </w:tblPr>
      <w:tblGrid>
        <w:gridCol w:w="1542"/>
        <w:gridCol w:w="4048"/>
        <w:gridCol w:w="4048"/>
      </w:tblGrid>
      <w:tr>
        <w:trPr>
          <w:tblHeader/>
        </w:trPr>
        <w:tc>
          <w:tcPr>
            <w:tcW w:type="dxa" w:w="1542"/>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Tool / Datum</w:t>
            </w:r>
          </w:p>
        </w:tc>
        <w:tc>
          <w:tcPr>
            <w:tcW w:type="dxa" w:w="404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Arbeitsauftrag</w:t>
            </w:r>
          </w:p>
        </w:tc>
        <w:tc>
          <w:tcPr>
            <w:tcW w:type="dxa" w:w="4048"/>
            <w:shd w:fill="E9F1EC" w:color="auto" w:val="clear"/>
            <w:tcMar>
              <w:top w:type="dxa" w:w="60"/>
              <w:left w:type="dxa" w:w="110"/>
              <w:bottom w:type="dxa" w:w="60"/>
              <w:right w:type="dxa" w:w="110"/>
            </w:tcMar>
            <w:vAlign w:val="top"/>
          </w:tcPr>
          <w:p>
            <w:pPr>
              <w:spacing w:after="40" w:before="40" w:line="264"/>
            </w:pPr>
            <w:r>
              <w:rPr>
                <w:b/>
                <w:bCs/>
                <w:color w:val="1F2937"/>
                <w:sz w:val="17"/>
                <w:szCs w:val="17"/>
              </w:rPr>
              <w:t xml:space="preserve">Nutzung und Prüfpflicht</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OpenAI Codex</w:t>
            </w:r>
          </w:p>
          <w:p>
            <w:pPr>
              <w:spacing w:after="40" w:before="20" w:line="264"/>
            </w:pPr>
            <w:r>
              <w:rPr>
                <w:b w:val="false"/>
                <w:bCs w:val="false"/>
                <w:color w:val="1F2937"/>
                <w:sz w:val="17"/>
                <w:szCs w:val="17"/>
              </w:rPr>
              <w:t xml:space="preserve">24.08.2026</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Leitfaden intensiv lesen; erste wissenschaftliche Berichtsstruktur und saubere Quellenarbeit erstellen; einen Fokus wählen, Kunden, Markt, Strategie und 4P vollständig berücksichtigen und eine kurze Umfrage prüfen; Kunden und Märkte als ersten Marketingprozess-Schritt bearbeiten.</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Arbeitsstruktur, Forschungsmodell mit H1–H4, Kunden- und Marktanalyse, Claim-Source-Matrix, Quellenprotokoll, Fragebogenentwurf. Alle Quellen, Zahlen, Zitate und Interpretationen vor Übernahme im Original prüfen.</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Claude (Cowork)</w:t>
            </w:r>
          </w:p>
          <w:p>
            <w:pPr>
              <w:spacing w:after="40" w:before="20" w:line="264"/>
            </w:pPr>
            <w:r>
              <w:rPr>
                <w:b w:val="false"/>
                <w:bCs w:val="false"/>
                <w:color w:val="1F2937"/>
                <w:sz w:val="17"/>
                <w:szCs w:val="17"/>
              </w:rPr>
              <w:t xml:space="preserve">24.08.2026</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Derselbe Arbeitsauftrag, unabhängig bearbeitet: Leitfaden lesen, Struktur und Quellenarbeit erstellen, Fokus wählen, Kunden und Märkte bearbeiten.</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Leitfrage und These, Gliederung mit Wortbudget, Wettbewerbsdynamik, Preisvergleich, Zuordnung der Vorlesungsmodelle je Kapitel, Fragebogenentwurf mit zwölf Fragen. Gleiche Prüfpflicht.</w:t>
            </w:r>
          </w:p>
        </w:tc>
      </w:tr>
      <w:tr>
        <w:tc>
          <w:tcPr>
            <w:tcW w:type="dxa" w:w="1542"/>
            <w:tcMar>
              <w:top w:type="dxa" w:w="60"/>
              <w:left w:type="dxa" w:w="110"/>
              <w:bottom w:type="dxa" w:w="60"/>
              <w:right w:type="dxa" w:w="110"/>
            </w:tcMar>
            <w:vAlign w:val="top"/>
          </w:tcPr>
          <w:p>
            <w:pPr>
              <w:spacing w:after="40" w:before="40" w:line="264"/>
            </w:pPr>
            <w:r>
              <w:rPr>
                <w:b w:val="false"/>
                <w:bCs w:val="false"/>
                <w:color w:val="1F2937"/>
                <w:sz w:val="17"/>
                <w:szCs w:val="17"/>
              </w:rPr>
              <w:t xml:space="preserve">Claude (Cowork)</w:t>
            </w:r>
          </w:p>
          <w:p>
            <w:pPr>
              <w:spacing w:after="40" w:before="20" w:line="264"/>
            </w:pPr>
            <w:r>
              <w:rPr>
                <w:b w:val="false"/>
                <w:bCs w:val="false"/>
                <w:color w:val="1F2937"/>
                <w:sz w:val="17"/>
                <w:szCs w:val="17"/>
              </w:rPr>
              <w:t xml:space="preserve">24.08.2026</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Vergleich der beiden Arbeitsstände: Stärken, Widersprüche und Empfehlung zur Zusammenführung.</w:t>
            </w:r>
          </w:p>
        </w:tc>
        <w:tc>
          <w:tcPr>
            <w:tcW w:type="dxa" w:w="4048"/>
            <w:tcMar>
              <w:top w:type="dxa" w:w="60"/>
              <w:left w:type="dxa" w:w="110"/>
              <w:bottom w:type="dxa" w:w="60"/>
              <w:right w:type="dxa" w:w="110"/>
            </w:tcMar>
            <w:vAlign w:val="top"/>
          </w:tcPr>
          <w:p>
            <w:pPr>
              <w:spacing w:after="40" w:before="40" w:line="264"/>
            </w:pPr>
            <w:r>
              <w:rPr>
                <w:b w:val="false"/>
                <w:bCs w:val="false"/>
                <w:color w:val="1F2937"/>
                <w:sz w:val="17"/>
                <w:szCs w:val="17"/>
              </w:rPr>
              <w:t xml:space="preserve">Bewertung beider Fassungen, Widerspruchstabelle, Zusammenführungsempfehlung. Keine inhaltlichen Aussagen für den Bericht.</w:t>
            </w:r>
          </w:p>
        </w:tc>
      </w:tr>
      <w:tr>
        <w:tc>
          <w:tcPr>
            <w:tcW w:type="dxa" w:w="1542"/>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Claude (Cowork)</w:t>
            </w:r>
          </w:p>
          <w:p>
            <w:pPr>
              <w:spacing w:after="40" w:before="20" w:line="264"/>
            </w:pPr>
            <w:r>
              <w:rPr>
                <w:b w:val="false"/>
                <w:bCs w:val="false"/>
                <w:color w:val="1F2937"/>
                <w:sz w:val="17"/>
                <w:szCs w:val="17"/>
              </w:rPr>
              <w:t xml:space="preserve">24.08.2026</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Vergleich und beide Arbeitsstände nutzen, um eine zweite, verbesserte Fassung zu schreiben.</w:t>
            </w:r>
          </w:p>
        </w:tc>
        <w:tc>
          <w:tcPr>
            <w:tcW w:type="dxa" w:w="4048"/>
            <w:shd w:fill="FAFBFA" w:color="auto" w:val="clear"/>
            <w:tcMar>
              <w:top w:type="dxa" w:w="60"/>
              <w:left w:type="dxa" w:w="110"/>
              <w:bottom w:type="dxa" w:w="60"/>
              <w:right w:type="dxa" w:w="110"/>
            </w:tcMar>
            <w:vAlign w:val="top"/>
          </w:tcPr>
          <w:p>
            <w:pPr>
              <w:spacing w:after="40" w:before="40" w:line="264"/>
            </w:pPr>
            <w:r>
              <w:rPr>
                <w:b w:val="false"/>
                <w:bCs w:val="false"/>
                <w:color w:val="1F2937"/>
                <w:sz w:val="17"/>
                <w:szCs w:val="17"/>
              </w:rPr>
              <w:t xml:space="preserve">Dieses Dokument: Zusammenführung, Entscheidung der Widersprüche, Modellbezugstabelle, Umschichtungsplan, Ergänzung des Fragebogens um drei Kriteriumsitems, Nachprüfung des Amazon-Preises.</w:t>
            </w:r>
          </w:p>
        </w:tc>
      </w:tr>
    </w:tbl>
    <w:p>
      <w:pPr>
        <w:spacing w:after="160"/>
      </w:pPr>
    </w:p>
    <w:tbl>
      <w:tblPr>
        <w:tblW w:type="dxa" w:w="9638"/>
        <w:tblBorders>
          <w:top w:val="none" w:color="F4F6F5" w:sz="0"/>
          <w:left w:val="single" w:color="1B5E43" w:sz="18"/>
          <w:bottom w:val="none" w:color="F4F6F5" w:sz="0"/>
          <w:right w:val="none" w:color="F4F6F5" w:sz="0"/>
          <w:insideH w:val="none" w:color="F4F6F5" w:sz="0"/>
          <w:insideV w:val="none" w:color="F4F6F5" w:sz="0"/>
        </w:tblBorders>
      </w:tblPr>
      <w:tblGrid>
        <w:gridCol w:w="9638"/>
      </w:tblGrid>
      <w:tr>
        <w:tc>
          <w:tcPr>
            <w:tcW w:type="dxa" w:w="9638"/>
            <w:shd w:fill="F4F6F5" w:color="auto" w:val="clear"/>
            <w:tcMar>
              <w:top w:type="dxa" w:w="120"/>
              <w:left w:type="dxa" w:w="180"/>
              <w:bottom w:type="dxa" w:w="120"/>
              <w:right w:type="dxa" w:w="180"/>
            </w:tcMar>
          </w:tcPr>
          <w:p>
            <w:pPr>
              <w:spacing w:after="60" w:before="60" w:line="276"/>
            </w:pPr>
            <w:r>
              <w:rPr>
                <w:b/>
                <w:bCs/>
                <w:color w:val="1F2937"/>
                <w:sz w:val="19"/>
                <w:szCs w:val="19"/>
              </w:rPr>
              <w:t xml:space="preserve">Nicht vergessen.</w:t>
            </w:r>
            <w:r>
              <w:rPr>
                <w:color w:val="1F2937"/>
                <w:sz w:val="19"/>
                <w:szCs w:val="19"/>
              </w:rPr>
              <w:t xml:space="preserve"> Die ehrenwörtliche Erklärung ist im finalen Bericht in der von der HSBA vorgegebenen Fassung einzufügen und von allen erforderlichen Personen zu unterzeichnen. KI-Ausgaben sind keine zitierfähigen Quellen: Jede hier genannte Zahl muss vor der Verwendung an der angegebenen Primärquelle geprüft werden. Struktur, Argumente und Formulierungen des Berichts verantwortet das Team selbst.</w:t>
            </w:r>
          </w:p>
        </w:tc>
      </w:tr>
    </w:tbl>
    <w:sectPr>
      <w:headerReference w:type="default" r:id="rId7"/>
      <w:footerReference w:type="default" r:id="rId8"/>
      <w:pgSz w:w="11906" w:h="16838"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29B"/>
        <w:sz w:val="15"/>
        <w:szCs w:val="15"/>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DE" w:sz="4" w:space="4"/>
      </w:pBdr>
      <w:spacing w:after="60"/>
    </w:pPr>
    <w:r>
      <w:rPr>
        <w:color w:val="8A929B"/>
        <w:sz w:val="15"/>
        <w:szCs w:val="15"/>
      </w:rPr>
      <w:t xml:space="preserve">Praxisbericht Spotify · Arbeitsstand 2 · Stand 24.08.2026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rFonts w:ascii="Calibri" w:cs="Calibri" w:eastAsia="Calibri" w:hAnsi="Calibri"/>
    </w:rPr>
  </w:style>
  <w:style w:type="paragraph" w:styleId="Heading2">
    <w:name w:val="Heading 2"/>
    <w:basedOn w:val="Normal"/>
    <w:next w:val="Normal"/>
    <w:qFormat/>
    <w:pPr>
      <w:spacing w:after="120" w:before="280"/>
    </w:pPr>
    <w:rPr>
      <w:rFonts w:ascii="Calibri" w:cs="Calibri" w:eastAsia="Calibri" w:hAnsi="Calibri"/>
    </w:rPr>
  </w:style>
  <w:style w:type="paragraph" w:styleId="Heading3">
    <w:name w:val="Heading 3"/>
    <w:basedOn w:val="Normal"/>
    <w:next w:val="Normal"/>
    <w:qFormat/>
    <w:pPr>
      <w:spacing w:after="100" w:before="200"/>
    </w:pPr>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 Praxisbericht — Arbeitsstand 2</dc:title>
  <dc:creator>Praxisbericht-Team Marketing Management</dc:creator>
  <dc:description>Zusammengeführte und überarbeitete Arbeitsgrundlage, Stand 24.08.2026</dc:description>
  <cp:lastModifiedBy>Un-named</cp:lastModifiedBy>
  <cp:revision>1</cp:revision>
  <dcterms:created xsi:type="dcterms:W3CDTF">2026-08-24T12:09:23.664Z</dcterms:created>
  <dcterms:modified xsi:type="dcterms:W3CDTF">2026-08-24T12:09:23.664Z</dcterms:modified>
</cp:coreProperties>
</file>

<file path=docProps/custom.xml><?xml version="1.0" encoding="utf-8"?>
<Properties xmlns="http://schemas.openxmlformats.org/officeDocument/2006/custom-properties" xmlns:vt="http://schemas.openxmlformats.org/officeDocument/2006/docPropsVTypes"/>
</file>