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6F04" w14:textId="77777777" w:rsidR="00E562D4" w:rsidRDefault="00E562D4" w:rsidP="00E562D4">
      <w:pPr>
        <w:pStyle w:val="HeadingZM"/>
      </w:pPr>
      <w:bookmarkStart w:id="0" w:name="_Toc52786037"/>
      <w:r>
        <w:t>Appendix 1- A Guide to Tax Calculation</w:t>
      </w:r>
      <w:bookmarkEnd w:id="0"/>
    </w:p>
    <w:p w14:paraId="0AB5ABEC" w14:textId="77777777" w:rsidR="00E562D4" w:rsidRDefault="00E562D4" w:rsidP="00E562D4">
      <w:pPr>
        <w:spacing w:after="0" w:line="276" w:lineRule="auto"/>
        <w:jc w:val="both"/>
        <w:rPr>
          <w:rFonts w:ascii="Times New Roman" w:hAnsi="Times New Roman" w:cs="Times New Roman"/>
          <w:sz w:val="24"/>
          <w:szCs w:val="24"/>
        </w:rPr>
      </w:pPr>
    </w:p>
    <w:p w14:paraId="76912A70" w14:textId="77777777" w:rsidR="00E562D4" w:rsidRPr="002C07D3" w:rsidRDefault="00E562D4" w:rsidP="00E562D4">
      <w:pPr>
        <w:spacing w:line="360" w:lineRule="auto"/>
        <w:rPr>
          <w:rFonts w:ascii="Helvetica" w:eastAsia="Times New Roman" w:hAnsi="Helvetica" w:cs="Helvetica"/>
          <w:sz w:val="24"/>
          <w:szCs w:val="24"/>
        </w:rPr>
      </w:pPr>
      <w:r w:rsidRPr="002C07D3">
        <w:rPr>
          <w:rFonts w:ascii="Helvetica" w:eastAsia="Times New Roman" w:hAnsi="Helvetica" w:cs="Helvetica"/>
          <w:color w:val="000000"/>
          <w:sz w:val="24"/>
          <w:szCs w:val="24"/>
        </w:rPr>
        <w:t xml:space="preserve">Zillmeter includes </w:t>
      </w:r>
      <w:r>
        <w:rPr>
          <w:rFonts w:ascii="Helvetica" w:eastAsia="Times New Roman" w:hAnsi="Helvetica" w:cs="Helvetica"/>
          <w:color w:val="000000"/>
          <w:sz w:val="24"/>
          <w:szCs w:val="24"/>
        </w:rPr>
        <w:t xml:space="preserve">the </w:t>
      </w:r>
      <w:r w:rsidRPr="002C07D3">
        <w:rPr>
          <w:rFonts w:ascii="Helvetica" w:eastAsia="Times New Roman" w:hAnsi="Helvetica" w:cs="Helvetica"/>
          <w:color w:val="000000"/>
          <w:sz w:val="24"/>
          <w:szCs w:val="24"/>
        </w:rPr>
        <w:t>following Federal Tax provisions on the Real Estate Investments:</w:t>
      </w:r>
    </w:p>
    <w:p w14:paraId="3A16033F" w14:textId="77777777" w:rsidR="00E562D4" w:rsidRPr="002C07D3" w:rsidRDefault="00E562D4" w:rsidP="00E562D4">
      <w:pPr>
        <w:spacing w:line="360" w:lineRule="auto"/>
        <w:jc w:val="both"/>
        <w:rPr>
          <w:rFonts w:ascii="Helvetica" w:eastAsia="Times New Roman" w:hAnsi="Helvetica" w:cs="Helvetica"/>
          <w:color w:val="FF0000"/>
          <w:sz w:val="24"/>
          <w:szCs w:val="24"/>
        </w:rPr>
      </w:pPr>
      <w:r w:rsidRPr="002C07D3">
        <w:rPr>
          <w:rFonts w:ascii="Helvetica" w:eastAsia="Times New Roman" w:hAnsi="Helvetica" w:cs="Helvetica"/>
          <w:color w:val="FF0000"/>
          <w:sz w:val="24"/>
          <w:szCs w:val="24"/>
        </w:rPr>
        <w:t>DISCLAIMER: We are not tax advisors! Our Recommendations and calculations may not be used for the tax preparation purpose.</w:t>
      </w:r>
    </w:p>
    <w:p w14:paraId="79876BC3" w14:textId="008C5464" w:rsidR="00E562D4" w:rsidRDefault="00E562D4" w:rsidP="00E562D4">
      <w:pPr>
        <w:spacing w:line="360" w:lineRule="auto"/>
        <w:jc w:val="both"/>
        <w:rPr>
          <w:rFonts w:ascii="Helvetica" w:eastAsia="Times New Roman" w:hAnsi="Helvetica" w:cs="Helvetica"/>
          <w:b/>
          <w:bCs/>
          <w:color w:val="000000"/>
          <w:sz w:val="24"/>
          <w:szCs w:val="24"/>
        </w:rPr>
      </w:pPr>
      <w:r w:rsidRPr="002C07D3">
        <w:rPr>
          <w:rFonts w:ascii="Helvetica" w:eastAsia="Times New Roman" w:hAnsi="Helvetica" w:cs="Helvetica"/>
          <w:b/>
          <w:bCs/>
          <w:color w:val="000000"/>
          <w:sz w:val="24"/>
          <w:szCs w:val="24"/>
        </w:rPr>
        <w:t>Income Tax on the Real Estate Investments: </w:t>
      </w:r>
    </w:p>
    <w:p w14:paraId="228E24F8" w14:textId="634DF63C" w:rsidR="00AA7236" w:rsidRDefault="00CA1E78" w:rsidP="00E562D4">
      <w:pPr>
        <w:spacing w:line="360" w:lineRule="auto"/>
        <w:jc w:val="both"/>
        <w:rPr>
          <w:rFonts w:ascii="Helvetica" w:eastAsia="Times New Roman" w:hAnsi="Helvetica" w:cs="Helvetica"/>
          <w:b/>
          <w:bCs/>
          <w:color w:val="000000"/>
          <w:sz w:val="24"/>
          <w:szCs w:val="24"/>
        </w:rPr>
      </w:pPr>
      <w:r>
        <w:rPr>
          <w:rFonts w:ascii="Helvetica" w:eastAsia="Times New Roman" w:hAnsi="Helvetica" w:cs="Helvetica"/>
          <w:color w:val="000000"/>
          <w:sz w:val="24"/>
          <w:szCs w:val="24"/>
        </w:rPr>
        <w:t xml:space="preserve">Here are some </w:t>
      </w:r>
      <w:r w:rsidR="00587242">
        <w:rPr>
          <w:rFonts w:ascii="Helvetica" w:eastAsia="Times New Roman" w:hAnsi="Helvetica" w:cs="Helvetica"/>
          <w:color w:val="000000"/>
          <w:sz w:val="24"/>
          <w:szCs w:val="24"/>
        </w:rPr>
        <w:t>helpful</w:t>
      </w:r>
      <w:r>
        <w:rPr>
          <w:rFonts w:ascii="Helvetica" w:eastAsia="Times New Roman" w:hAnsi="Helvetica" w:cs="Helvetica"/>
          <w:color w:val="000000"/>
          <w:sz w:val="24"/>
          <w:szCs w:val="24"/>
        </w:rPr>
        <w:t xml:space="preserve"> </w:t>
      </w:r>
      <w:r w:rsidR="00587242">
        <w:rPr>
          <w:rFonts w:ascii="Helvetica" w:eastAsia="Times New Roman" w:hAnsi="Helvetica" w:cs="Helvetica"/>
          <w:color w:val="000000"/>
          <w:sz w:val="24"/>
          <w:szCs w:val="24"/>
        </w:rPr>
        <w:t>notations</w:t>
      </w:r>
      <w:r>
        <w:rPr>
          <w:rFonts w:ascii="Helvetica" w:eastAsia="Times New Roman" w:hAnsi="Helvetica" w:cs="Helvetica"/>
          <w:color w:val="000000"/>
          <w:sz w:val="24"/>
          <w:szCs w:val="24"/>
        </w:rPr>
        <w:t xml:space="preserve"> to better understand the</w:t>
      </w:r>
      <w:r w:rsidR="000833D2">
        <w:rPr>
          <w:rFonts w:ascii="Helvetica" w:eastAsia="Times New Roman" w:hAnsi="Helvetica" w:cs="Helvetica"/>
          <w:color w:val="000000"/>
          <w:sz w:val="24"/>
          <w:szCs w:val="24"/>
        </w:rPr>
        <w:t xml:space="preserve"> Zillmeter’s approach in your real estate</w:t>
      </w:r>
      <w:r>
        <w:rPr>
          <w:rFonts w:ascii="Helvetica" w:eastAsia="Times New Roman" w:hAnsi="Helvetica" w:cs="Helvetica"/>
          <w:color w:val="000000"/>
          <w:sz w:val="24"/>
          <w:szCs w:val="24"/>
        </w:rPr>
        <w:t xml:space="preserve"> tax calculation.</w:t>
      </w:r>
    </w:p>
    <w:p w14:paraId="5B3E1CE9" w14:textId="766C1B7B" w:rsidR="00E562D4" w:rsidRPr="002C07D3" w:rsidRDefault="00E562D4" w:rsidP="00E562D4">
      <w:pPr>
        <w:spacing w:line="360" w:lineRule="auto"/>
        <w:jc w:val="both"/>
        <w:rPr>
          <w:rFonts w:ascii="Helvetica" w:eastAsia="Times New Roman" w:hAnsi="Helvetica" w:cs="Helvetica"/>
          <w:sz w:val="24"/>
          <w:szCs w:val="24"/>
        </w:rPr>
      </w:pPr>
      <w:r w:rsidRPr="002C07D3">
        <w:rPr>
          <w:rFonts w:ascii="Helvetica" w:eastAsia="Times New Roman" w:hAnsi="Helvetica" w:cs="Helvetica"/>
          <w:b/>
          <w:bCs/>
          <w:color w:val="000000"/>
          <w:sz w:val="24"/>
          <w:szCs w:val="24"/>
        </w:rPr>
        <w:t>Active Income</w:t>
      </w:r>
      <w:r>
        <w:rPr>
          <w:rFonts w:ascii="Helvetica" w:eastAsia="Times New Roman" w:hAnsi="Helvetica" w:cs="Helvetica"/>
          <w:b/>
          <w:bCs/>
          <w:color w:val="000000"/>
          <w:sz w:val="24"/>
          <w:szCs w:val="24"/>
        </w:rPr>
        <w:t>:</w:t>
      </w:r>
      <w:r w:rsidRPr="002C07D3">
        <w:rPr>
          <w:rFonts w:ascii="Helvetica" w:eastAsia="Times New Roman" w:hAnsi="Helvetica" w:cs="Helvetica"/>
          <w:color w:val="000000"/>
          <w:sz w:val="24"/>
          <w:szCs w:val="24"/>
        </w:rPr>
        <w:t xml:space="preserve"> Any net income (excluding deductible expenses) from the purchased Real Estate for taxpayers who </w:t>
      </w:r>
      <w:r w:rsidRPr="00E562D4">
        <w:rPr>
          <w:rFonts w:ascii="Helvetica" w:eastAsia="Times New Roman" w:hAnsi="Helvetica" w:cs="Helvetica"/>
          <w:color w:val="000000"/>
          <w:sz w:val="24"/>
          <w:szCs w:val="24"/>
        </w:rPr>
        <w:t>dedicate at least half to work real estate trading (e.g. developers or realtors).</w:t>
      </w:r>
      <w:r w:rsidRPr="002C07D3">
        <w:rPr>
          <w:rFonts w:ascii="Helvetica" w:eastAsia="Times New Roman" w:hAnsi="Helvetica" w:cs="Helvetica"/>
          <w:color w:val="000000"/>
          <w:sz w:val="24"/>
          <w:szCs w:val="24"/>
        </w:rPr>
        <w:t xml:space="preserve"> Zillmeter does not treat any income as “Active Income” in the financial calculations. This may not be the case for some individuals, therefor Zillmeter always recommend</w:t>
      </w:r>
      <w:r>
        <w:rPr>
          <w:rFonts w:ascii="Helvetica" w:eastAsia="Times New Roman" w:hAnsi="Helvetica" w:cs="Helvetica"/>
          <w:color w:val="000000"/>
          <w:sz w:val="24"/>
          <w:szCs w:val="24"/>
        </w:rPr>
        <w:t>s</w:t>
      </w:r>
      <w:r w:rsidRPr="002C07D3">
        <w:rPr>
          <w:rFonts w:ascii="Helvetica" w:eastAsia="Times New Roman" w:hAnsi="Helvetica" w:cs="Helvetica"/>
          <w:color w:val="000000"/>
          <w:sz w:val="24"/>
          <w:szCs w:val="24"/>
        </w:rPr>
        <w:t xml:space="preserve"> consulting with your tax advisor.</w:t>
      </w:r>
    </w:p>
    <w:p w14:paraId="78E80742" w14:textId="6A19BAE7" w:rsidR="00E562D4" w:rsidRDefault="00E562D4" w:rsidP="00E562D4">
      <w:pPr>
        <w:spacing w:line="360" w:lineRule="auto"/>
        <w:jc w:val="both"/>
        <w:rPr>
          <w:rFonts w:ascii="Helvetica" w:eastAsia="Times New Roman" w:hAnsi="Helvetica" w:cs="Helvetica"/>
          <w:color w:val="000000"/>
          <w:sz w:val="24"/>
          <w:szCs w:val="24"/>
        </w:rPr>
      </w:pPr>
      <w:r w:rsidRPr="002C07D3">
        <w:rPr>
          <w:rFonts w:ascii="Helvetica" w:eastAsia="Times New Roman" w:hAnsi="Helvetica" w:cs="Helvetica"/>
          <w:b/>
          <w:bCs/>
          <w:color w:val="000000"/>
          <w:sz w:val="24"/>
          <w:szCs w:val="24"/>
        </w:rPr>
        <w:t>Passive Income:</w:t>
      </w:r>
      <w:r w:rsidRPr="002C07D3">
        <w:rPr>
          <w:rFonts w:ascii="Helvetica" w:eastAsia="Times New Roman" w:hAnsi="Helvetica" w:cs="Helvetica"/>
          <w:color w:val="000000"/>
          <w:sz w:val="24"/>
          <w:szCs w:val="24"/>
        </w:rPr>
        <w:t xml:space="preserve"> Any net income (excluding deductible expenses) from the purchased Real Estate (e.g. rental income) for taxpayers who are the landlord are considered as “passive income or loss”. Passive income</w:t>
      </w:r>
      <w:r>
        <w:rPr>
          <w:rFonts w:ascii="Helvetica" w:eastAsia="Times New Roman" w:hAnsi="Helvetica" w:cs="Helvetica"/>
          <w:color w:val="000000"/>
          <w:sz w:val="24"/>
          <w:szCs w:val="24"/>
        </w:rPr>
        <w:t>s</w:t>
      </w:r>
      <w:r w:rsidRPr="002C07D3">
        <w:rPr>
          <w:rFonts w:ascii="Helvetica" w:eastAsia="Times New Roman" w:hAnsi="Helvetica" w:cs="Helvetica"/>
          <w:color w:val="000000"/>
          <w:sz w:val="24"/>
          <w:szCs w:val="24"/>
        </w:rPr>
        <w:t xml:space="preserve"> from passive activities (e.g. rental income, property depreciation) are typically netted against each other and not active income. Passive losses may not </w:t>
      </w:r>
      <w:r>
        <w:rPr>
          <w:rFonts w:ascii="Helvetica" w:eastAsia="Times New Roman" w:hAnsi="Helvetica" w:cs="Helvetica"/>
          <w:color w:val="000000"/>
          <w:sz w:val="24"/>
          <w:szCs w:val="24"/>
        </w:rPr>
        <w:t xml:space="preserve">be </w:t>
      </w:r>
      <w:r w:rsidRPr="002C07D3">
        <w:rPr>
          <w:rFonts w:ascii="Helvetica" w:eastAsia="Times New Roman" w:hAnsi="Helvetica" w:cs="Helvetica"/>
          <w:color w:val="000000"/>
          <w:sz w:val="24"/>
          <w:szCs w:val="24"/>
        </w:rPr>
        <w:t>use</w:t>
      </w:r>
      <w:r>
        <w:rPr>
          <w:rFonts w:ascii="Helvetica" w:eastAsia="Times New Roman" w:hAnsi="Helvetica" w:cs="Helvetica"/>
          <w:color w:val="000000"/>
          <w:sz w:val="24"/>
          <w:szCs w:val="24"/>
        </w:rPr>
        <w:t>d</w:t>
      </w:r>
      <w:r w:rsidRPr="002C07D3">
        <w:rPr>
          <w:rFonts w:ascii="Helvetica" w:eastAsia="Times New Roman" w:hAnsi="Helvetica" w:cs="Helvetica"/>
          <w:color w:val="000000"/>
          <w:sz w:val="24"/>
          <w:szCs w:val="24"/>
        </w:rPr>
        <w:t xml:space="preserve"> to offset Active Incomes; however Passive </w:t>
      </w:r>
      <w:r>
        <w:rPr>
          <w:rFonts w:ascii="Helvetica" w:eastAsia="Times New Roman" w:hAnsi="Helvetica" w:cs="Helvetica"/>
          <w:color w:val="000000"/>
          <w:sz w:val="24"/>
          <w:szCs w:val="24"/>
        </w:rPr>
        <w:t>l</w:t>
      </w:r>
      <w:r w:rsidRPr="002C07D3">
        <w:rPr>
          <w:rFonts w:ascii="Helvetica" w:eastAsia="Times New Roman" w:hAnsi="Helvetica" w:cs="Helvetica"/>
          <w:color w:val="000000"/>
          <w:sz w:val="24"/>
          <w:szCs w:val="24"/>
        </w:rPr>
        <w:t>oss</w:t>
      </w:r>
      <w:r>
        <w:rPr>
          <w:rFonts w:ascii="Helvetica" w:eastAsia="Times New Roman" w:hAnsi="Helvetica" w:cs="Helvetica"/>
          <w:color w:val="000000"/>
          <w:sz w:val="24"/>
          <w:szCs w:val="24"/>
        </w:rPr>
        <w:t>es</w:t>
      </w:r>
      <w:r w:rsidRPr="002C07D3">
        <w:rPr>
          <w:rFonts w:ascii="Helvetica" w:eastAsia="Times New Roman" w:hAnsi="Helvetica" w:cs="Helvetica"/>
          <w:color w:val="000000"/>
          <w:sz w:val="24"/>
          <w:szCs w:val="24"/>
        </w:rPr>
        <w:t xml:space="preserve"> may be used to offset Capital Gain on Sale.</w:t>
      </w:r>
      <w:r w:rsidR="00587242">
        <w:rPr>
          <w:rFonts w:ascii="Helvetica" w:eastAsia="Times New Roman" w:hAnsi="Helvetica" w:cs="Helvetica"/>
          <w:color w:val="000000"/>
          <w:sz w:val="24"/>
          <w:szCs w:val="24"/>
        </w:rPr>
        <w:t xml:space="preserve"> Zillmeter treats passive losses in terms of tax credits or tax savings.</w:t>
      </w:r>
    </w:p>
    <w:p w14:paraId="5C5DC10F" w14:textId="77777777" w:rsidR="00CA1E78" w:rsidRDefault="00CA1E78" w:rsidP="00CA1E78">
      <w:pPr>
        <w:spacing w:line="360" w:lineRule="auto"/>
        <w:jc w:val="both"/>
        <w:rPr>
          <w:rFonts w:ascii="Helvetica" w:eastAsia="Times New Roman" w:hAnsi="Helvetica" w:cs="Helvetica"/>
          <w:color w:val="000000"/>
          <w:sz w:val="24"/>
          <w:szCs w:val="24"/>
        </w:rPr>
      </w:pPr>
      <w:r w:rsidRPr="00AA7236">
        <w:rPr>
          <w:rFonts w:ascii="Helvetica" w:eastAsia="Times New Roman" w:hAnsi="Helvetica" w:cs="Helvetica"/>
          <w:b/>
          <w:bCs/>
          <w:i/>
          <w:iCs/>
          <w:color w:val="000000"/>
          <w:sz w:val="24"/>
          <w:szCs w:val="24"/>
        </w:rPr>
        <w:t>Taxable income</w:t>
      </w:r>
      <w:r w:rsidRPr="00AA7236">
        <w:rPr>
          <w:rFonts w:ascii="Helvetica" w:eastAsia="Times New Roman" w:hAnsi="Helvetica" w:cs="Helvetica"/>
          <w:b/>
          <w:bCs/>
          <w:color w:val="000000"/>
          <w:sz w:val="24"/>
          <w:szCs w:val="24"/>
        </w:rPr>
        <w:t>:</w:t>
      </w:r>
      <w:r w:rsidRPr="002C07D3">
        <w:rPr>
          <w:rFonts w:ascii="Helvetica" w:eastAsia="Times New Roman" w:hAnsi="Helvetica" w:cs="Helvetica"/>
          <w:color w:val="000000"/>
          <w:sz w:val="24"/>
          <w:szCs w:val="24"/>
        </w:rPr>
        <w:t xml:space="preserve"> Any </w:t>
      </w:r>
      <w:r>
        <w:rPr>
          <w:rFonts w:ascii="Helvetica" w:eastAsia="Times New Roman" w:hAnsi="Helvetica" w:cs="Helvetica"/>
          <w:color w:val="000000"/>
          <w:sz w:val="24"/>
          <w:szCs w:val="24"/>
        </w:rPr>
        <w:t>c</w:t>
      </w:r>
      <w:r w:rsidRPr="002C07D3">
        <w:rPr>
          <w:rFonts w:ascii="Helvetica" w:eastAsia="Times New Roman" w:hAnsi="Helvetica" w:cs="Helvetica"/>
          <w:color w:val="000000"/>
          <w:sz w:val="24"/>
          <w:szCs w:val="24"/>
        </w:rPr>
        <w:t>ollected income from the real estate minus operation expenses, interested paid, and property depreciation of the rented area. </w:t>
      </w:r>
    </w:p>
    <w:p w14:paraId="49ECBB9B" w14:textId="77777777" w:rsidR="000547DF" w:rsidRDefault="00E562D4" w:rsidP="00E562D4">
      <w:pPr>
        <w:spacing w:line="360" w:lineRule="auto"/>
        <w:jc w:val="both"/>
        <w:rPr>
          <w:rFonts w:ascii="Helvetica" w:eastAsia="Times New Roman" w:hAnsi="Helvetica" w:cs="Helvetica"/>
          <w:color w:val="000000"/>
          <w:sz w:val="24"/>
          <w:szCs w:val="24"/>
        </w:rPr>
        <w:sectPr w:rsidR="000547DF" w:rsidSect="004C4C6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docGrid w:linePitch="360"/>
        </w:sectPr>
      </w:pPr>
      <w:r w:rsidRPr="002C07D3">
        <w:rPr>
          <w:rFonts w:ascii="Helvetica" w:eastAsia="Times New Roman" w:hAnsi="Helvetica" w:cs="Helvetica"/>
          <w:b/>
          <w:bCs/>
          <w:color w:val="000000"/>
          <w:sz w:val="24"/>
          <w:szCs w:val="24"/>
        </w:rPr>
        <w:t>Adjusted basis or Tax Basis:</w:t>
      </w:r>
      <w:r>
        <w:rPr>
          <w:rFonts w:ascii="Helvetica" w:eastAsia="Times New Roman" w:hAnsi="Helvetica" w:cs="Helvetica"/>
          <w:b/>
          <w:bCs/>
          <w:color w:val="000000"/>
          <w:sz w:val="24"/>
          <w:szCs w:val="24"/>
        </w:rPr>
        <w:t xml:space="preserve"> </w:t>
      </w:r>
      <w:r w:rsidRPr="002C07D3">
        <w:rPr>
          <w:rFonts w:ascii="Helvetica" w:eastAsia="Times New Roman" w:hAnsi="Helvetica" w:cs="Helvetica"/>
          <w:color w:val="000000"/>
          <w:sz w:val="24"/>
          <w:szCs w:val="24"/>
        </w:rPr>
        <w:t xml:space="preserve">The adjusted basis of a property is determined at the time of acquisition of the property. If depreciation is permitted, which is typically allowed for rental real estates, it occurs based on the Tax Basis of the property. </w:t>
      </w:r>
      <w:r w:rsidR="00587242">
        <w:rPr>
          <w:rFonts w:ascii="Helvetica" w:eastAsia="Times New Roman" w:hAnsi="Helvetica" w:cs="Helvetica"/>
          <w:color w:val="000000"/>
          <w:sz w:val="24"/>
          <w:szCs w:val="24"/>
        </w:rPr>
        <w:t>Zillmeter’s</w:t>
      </w:r>
      <w:r w:rsidRPr="002C07D3">
        <w:rPr>
          <w:rFonts w:ascii="Helvetica" w:eastAsia="Times New Roman" w:hAnsi="Helvetica" w:cs="Helvetica"/>
          <w:color w:val="000000"/>
          <w:sz w:val="24"/>
          <w:szCs w:val="24"/>
        </w:rPr>
        <w:t xml:space="preserve"> default assumption is to allocate 75% of the purchased price to the depreciable improvements and 25% to the land value which cannot be depreciated. Legal fees, title and escrow fees that are associated with the sale or purchase of the property can be added to the adjusted </w:t>
      </w:r>
    </w:p>
    <w:p w14:paraId="6F0F5C3D" w14:textId="39FA1462" w:rsidR="000547DF" w:rsidRDefault="000547DF" w:rsidP="00E562D4">
      <w:pPr>
        <w:spacing w:line="360" w:lineRule="auto"/>
        <w:jc w:val="both"/>
        <w:rPr>
          <w:rFonts w:ascii="Helvetica" w:eastAsia="Times New Roman" w:hAnsi="Helvetica" w:cs="Helvetica"/>
          <w:color w:val="000000"/>
          <w:sz w:val="24"/>
          <w:szCs w:val="24"/>
        </w:rPr>
        <w:sectPr w:rsidR="000547DF" w:rsidSect="000547DF">
          <w:type w:val="continuous"/>
          <w:pgSz w:w="12240" w:h="15840" w:code="1"/>
          <w:pgMar w:top="1440" w:right="1440" w:bottom="1440" w:left="1440" w:header="720" w:footer="720" w:gutter="0"/>
          <w:pgNumType w:start="0"/>
          <w:cols w:space="720"/>
          <w:docGrid w:linePitch="360"/>
        </w:sectPr>
      </w:pPr>
    </w:p>
    <w:p w14:paraId="4C9DA925" w14:textId="0026E442" w:rsidR="00E562D4" w:rsidRDefault="00E562D4" w:rsidP="00E562D4">
      <w:pPr>
        <w:spacing w:line="360" w:lineRule="auto"/>
        <w:jc w:val="both"/>
        <w:rPr>
          <w:rFonts w:ascii="Helvetica" w:eastAsia="Times New Roman" w:hAnsi="Helvetica" w:cs="Helvetica"/>
          <w:color w:val="000000"/>
          <w:sz w:val="24"/>
          <w:szCs w:val="24"/>
        </w:rPr>
      </w:pPr>
      <w:r w:rsidRPr="002C07D3">
        <w:rPr>
          <w:rFonts w:ascii="Helvetica" w:eastAsia="Times New Roman" w:hAnsi="Helvetica" w:cs="Helvetica"/>
          <w:color w:val="000000"/>
          <w:sz w:val="24"/>
          <w:szCs w:val="24"/>
        </w:rPr>
        <w:lastRenderedPageBreak/>
        <w:t>basis of the property. Also, any additional improvement expenditures will be added to the adjusted basis of property.</w:t>
      </w:r>
    </w:p>
    <w:p w14:paraId="73DD6352" w14:textId="15533AF5" w:rsidR="00E562D4" w:rsidRDefault="00E562D4" w:rsidP="00E562D4">
      <w:pPr>
        <w:spacing w:line="360" w:lineRule="auto"/>
        <w:jc w:val="both"/>
        <w:rPr>
          <w:rFonts w:ascii="Helvetica" w:eastAsia="Times New Roman" w:hAnsi="Helvetica" w:cs="Helvetica"/>
          <w:color w:val="000000"/>
          <w:sz w:val="24"/>
          <w:szCs w:val="24"/>
        </w:rPr>
      </w:pPr>
      <w:r>
        <w:rPr>
          <w:rFonts w:ascii="Helvetica" w:eastAsia="Times New Roman" w:hAnsi="Helvetica" w:cs="Helvetica"/>
          <w:b/>
          <w:bCs/>
          <w:color w:val="000000"/>
          <w:sz w:val="24"/>
          <w:szCs w:val="24"/>
        </w:rPr>
        <w:t>Depreciation</w:t>
      </w:r>
      <w:r w:rsidRPr="002C07D3">
        <w:rPr>
          <w:rFonts w:ascii="Helvetica" w:eastAsia="Times New Roman" w:hAnsi="Helvetica" w:cs="Helvetica"/>
          <w:b/>
          <w:bCs/>
          <w:color w:val="000000"/>
          <w:sz w:val="24"/>
          <w:szCs w:val="24"/>
        </w:rPr>
        <w:t>:</w:t>
      </w:r>
      <w:r>
        <w:rPr>
          <w:rFonts w:ascii="Helvetica" w:eastAsia="Times New Roman" w:hAnsi="Helvetica" w:cs="Helvetica"/>
          <w:b/>
          <w:bCs/>
          <w:color w:val="000000"/>
          <w:sz w:val="24"/>
          <w:szCs w:val="24"/>
        </w:rPr>
        <w:t xml:space="preserve"> </w:t>
      </w:r>
      <w:r w:rsidR="00AA7236">
        <w:rPr>
          <w:rFonts w:ascii="Helvetica" w:eastAsia="Times New Roman" w:hAnsi="Helvetica" w:cs="Helvetica"/>
          <w:color w:val="000000"/>
          <w:sz w:val="24"/>
          <w:szCs w:val="24"/>
        </w:rPr>
        <w:t>Owners of r</w:t>
      </w:r>
      <w:r>
        <w:rPr>
          <w:rFonts w:ascii="Helvetica" w:eastAsia="Times New Roman" w:hAnsi="Helvetica" w:cs="Helvetica"/>
          <w:color w:val="000000"/>
          <w:sz w:val="24"/>
          <w:szCs w:val="24"/>
        </w:rPr>
        <w:t>ental property can generally deduct depreciation of their rental property from the rental income.</w:t>
      </w:r>
      <w:r w:rsidR="00AA7236">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t xml:space="preserve">There are two </w:t>
      </w:r>
      <w:r w:rsidR="00AA7236">
        <w:rPr>
          <w:rFonts w:ascii="Helvetica" w:eastAsia="Times New Roman" w:hAnsi="Helvetica" w:cs="Helvetica"/>
          <w:color w:val="000000"/>
          <w:sz w:val="24"/>
          <w:szCs w:val="24"/>
        </w:rPr>
        <w:t xml:space="preserve">important </w:t>
      </w:r>
      <w:r>
        <w:rPr>
          <w:rFonts w:ascii="Helvetica" w:eastAsia="Times New Roman" w:hAnsi="Helvetica" w:cs="Helvetica"/>
          <w:color w:val="000000"/>
          <w:sz w:val="24"/>
          <w:szCs w:val="24"/>
        </w:rPr>
        <w:t>things to note in determining the allowed depreciation</w:t>
      </w:r>
      <w:r w:rsidR="00AA7236">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t xml:space="preserve">1) </w:t>
      </w:r>
      <w:r w:rsidR="00AA7236">
        <w:rPr>
          <w:rFonts w:ascii="Helvetica" w:eastAsia="Times New Roman" w:hAnsi="Helvetica" w:cs="Helvetica"/>
          <w:color w:val="000000"/>
          <w:sz w:val="24"/>
          <w:szCs w:val="24"/>
        </w:rPr>
        <w:t xml:space="preserve">Only value of building can be </w:t>
      </w:r>
      <w:r w:rsidR="00587242">
        <w:rPr>
          <w:rFonts w:ascii="Helvetica" w:eastAsia="Times New Roman" w:hAnsi="Helvetica" w:cs="Helvetica"/>
          <w:color w:val="000000"/>
          <w:sz w:val="24"/>
          <w:szCs w:val="24"/>
        </w:rPr>
        <w:t>depreciated,</w:t>
      </w:r>
      <w:r w:rsidR="00AA7236">
        <w:rPr>
          <w:rFonts w:ascii="Helvetica" w:eastAsia="Times New Roman" w:hAnsi="Helvetica" w:cs="Helvetica"/>
          <w:color w:val="000000"/>
          <w:sz w:val="24"/>
          <w:szCs w:val="24"/>
        </w:rPr>
        <w:t xml:space="preserve"> and</w:t>
      </w:r>
      <w:r w:rsidR="00587242">
        <w:rPr>
          <w:rFonts w:ascii="Helvetica" w:eastAsia="Times New Roman" w:hAnsi="Helvetica" w:cs="Helvetica"/>
          <w:color w:val="000000"/>
          <w:sz w:val="24"/>
          <w:szCs w:val="24"/>
        </w:rPr>
        <w:t xml:space="preserve"> the</w:t>
      </w:r>
      <w:r w:rsidR="00AA7236">
        <w:rPr>
          <w:rFonts w:ascii="Helvetica" w:eastAsia="Times New Roman" w:hAnsi="Helvetica" w:cs="Helvetica"/>
          <w:color w:val="000000"/>
          <w:sz w:val="24"/>
          <w:szCs w:val="24"/>
        </w:rPr>
        <w:t xml:space="preserve"> land value </w:t>
      </w:r>
      <w:r w:rsidR="00587242">
        <w:rPr>
          <w:rFonts w:ascii="Helvetica" w:eastAsia="Times New Roman" w:hAnsi="Helvetica" w:cs="Helvetica"/>
          <w:color w:val="000000"/>
          <w:sz w:val="24"/>
          <w:szCs w:val="24"/>
        </w:rPr>
        <w:t>cannot</w:t>
      </w:r>
      <w:r w:rsidR="00AA7236">
        <w:rPr>
          <w:rFonts w:ascii="Helvetica" w:eastAsia="Times New Roman" w:hAnsi="Helvetica" w:cs="Helvetica"/>
          <w:color w:val="000000"/>
          <w:sz w:val="24"/>
          <w:szCs w:val="24"/>
        </w:rPr>
        <w:t xml:space="preserve"> be depreciated. I</w:t>
      </w:r>
      <w:r>
        <w:rPr>
          <w:rFonts w:ascii="Helvetica" w:eastAsia="Times New Roman" w:hAnsi="Helvetica" w:cs="Helvetica"/>
          <w:color w:val="000000"/>
          <w:sz w:val="24"/>
          <w:szCs w:val="24"/>
        </w:rPr>
        <w:t xml:space="preserve">n Zillmeter’s tax calculation the </w:t>
      </w:r>
      <w:r w:rsidR="00AA7236">
        <w:rPr>
          <w:rFonts w:ascii="Helvetica" w:eastAsia="Times New Roman" w:hAnsi="Helvetica" w:cs="Helvetica"/>
          <w:color w:val="000000"/>
          <w:sz w:val="24"/>
          <w:szCs w:val="24"/>
        </w:rPr>
        <w:t>value of building</w:t>
      </w:r>
      <w:r>
        <w:rPr>
          <w:rFonts w:ascii="Helvetica" w:eastAsia="Times New Roman" w:hAnsi="Helvetica" w:cs="Helvetica"/>
          <w:color w:val="000000"/>
          <w:sz w:val="24"/>
          <w:szCs w:val="24"/>
        </w:rPr>
        <w:t xml:space="preserve"> is assumed to be 75% of the total real estate </w:t>
      </w:r>
      <w:r w:rsidR="00AA7236">
        <w:rPr>
          <w:rFonts w:ascii="Helvetica" w:eastAsia="Times New Roman" w:hAnsi="Helvetica" w:cs="Helvetica"/>
          <w:color w:val="000000"/>
          <w:sz w:val="24"/>
          <w:szCs w:val="24"/>
        </w:rPr>
        <w:t xml:space="preserve">value </w:t>
      </w:r>
      <w:r>
        <w:rPr>
          <w:rFonts w:ascii="Helvetica" w:eastAsia="Times New Roman" w:hAnsi="Helvetica" w:cs="Helvetica"/>
          <w:color w:val="000000"/>
          <w:sz w:val="24"/>
          <w:szCs w:val="24"/>
        </w:rPr>
        <w:t xml:space="preserve">2) </w:t>
      </w:r>
      <w:r w:rsidR="00AA7236">
        <w:rPr>
          <w:rFonts w:ascii="Helvetica" w:eastAsia="Times New Roman" w:hAnsi="Helvetica" w:cs="Helvetica"/>
          <w:color w:val="000000"/>
          <w:sz w:val="24"/>
          <w:szCs w:val="24"/>
        </w:rPr>
        <w:t xml:space="preserve">The useful life of residential property is 27.5 years based on IRS guidelines. It means a rental property cannot be depreciated for more than 27.5 years. </w:t>
      </w:r>
      <w:r w:rsidR="00587242">
        <w:rPr>
          <w:rFonts w:ascii="Helvetica" w:eastAsia="Times New Roman" w:hAnsi="Helvetica" w:cs="Helvetica"/>
          <w:color w:val="000000"/>
          <w:sz w:val="24"/>
          <w:szCs w:val="24"/>
        </w:rPr>
        <w:t>This 27.5 year</w:t>
      </w:r>
      <w:r w:rsidR="00AA7236">
        <w:rPr>
          <w:rFonts w:ascii="Helvetica" w:eastAsia="Times New Roman" w:hAnsi="Helvetica" w:cs="Helvetica"/>
          <w:color w:val="000000"/>
          <w:sz w:val="24"/>
          <w:szCs w:val="24"/>
        </w:rPr>
        <w:t xml:space="preserve"> starts as soon as the property is available for rental purpose and has nothing to do with the age of the building.</w:t>
      </w:r>
    </w:p>
    <w:p w14:paraId="230F0BC8" w14:textId="3EAC9FDC" w:rsidR="00AA7236" w:rsidRDefault="00AA7236" w:rsidP="00E562D4">
      <w:pPr>
        <w:spacing w:line="36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There may be multiple </w:t>
      </w:r>
      <w:r w:rsidR="00587242">
        <w:rPr>
          <w:rFonts w:ascii="Helvetica" w:eastAsia="Times New Roman" w:hAnsi="Helvetica" w:cs="Helvetica"/>
          <w:color w:val="000000"/>
          <w:sz w:val="24"/>
          <w:szCs w:val="24"/>
        </w:rPr>
        <w:t>approaches</w:t>
      </w:r>
      <w:r>
        <w:rPr>
          <w:rFonts w:ascii="Helvetica" w:eastAsia="Times New Roman" w:hAnsi="Helvetica" w:cs="Helvetica"/>
          <w:color w:val="000000"/>
          <w:sz w:val="24"/>
          <w:szCs w:val="24"/>
        </w:rPr>
        <w:t xml:space="preserve"> to calculate the depreciation of each year. Zillmeter uses the straight-line depreciation convention. </w:t>
      </w:r>
    </w:p>
    <w:p w14:paraId="63664BEE" w14:textId="658CC3CE" w:rsidR="00CA1E78" w:rsidRPr="00154FAF" w:rsidRDefault="00CA1E78" w:rsidP="00154FAF">
      <w:pPr>
        <w:spacing w:line="360" w:lineRule="auto"/>
        <w:jc w:val="both"/>
        <w:rPr>
          <w:rFonts w:ascii="Helvetica" w:eastAsia="Times New Roman" w:hAnsi="Helvetica" w:cs="Helvetica"/>
          <w:sz w:val="24"/>
          <w:szCs w:val="24"/>
        </w:rPr>
      </w:pPr>
      <m:oMath>
        <m:r>
          <w:rPr>
            <w:rFonts w:ascii="Cambria Math" w:eastAsia="Times New Roman" w:hAnsi="Cambria Math" w:cs="Helvetica"/>
            <w:color w:val="000000"/>
            <w:sz w:val="24"/>
            <w:szCs w:val="24"/>
          </w:rPr>
          <m:t>Depreciation of each year</m:t>
        </m:r>
      </m:oMath>
      <w:r w:rsidR="00AA7236">
        <w:rPr>
          <w:rFonts w:ascii="Helvetica" w:eastAsia="Times New Roman" w:hAnsi="Helvetica" w:cs="Helvetica"/>
          <w:color w:val="000000"/>
          <w:sz w:val="24"/>
          <w:szCs w:val="24"/>
        </w:rPr>
        <w:t xml:space="preserve">= </w:t>
      </w:r>
      <m:oMath>
        <m:f>
          <m:fPr>
            <m:ctrlPr>
              <w:rPr>
                <w:rFonts w:ascii="Cambria Math" w:eastAsia="Times New Roman" w:hAnsi="Cambria Math" w:cs="Helvetica"/>
                <w:i/>
                <w:color w:val="000000"/>
                <w:sz w:val="24"/>
                <w:szCs w:val="24"/>
              </w:rPr>
            </m:ctrlPr>
          </m:fPr>
          <m:num>
            <m:r>
              <w:rPr>
                <w:rFonts w:ascii="Cambria Math" w:eastAsia="Times New Roman" w:hAnsi="Cambria Math" w:cs="Helvetica"/>
                <w:color w:val="000000"/>
                <w:sz w:val="24"/>
                <w:szCs w:val="24"/>
              </w:rPr>
              <m:t>Building Value  (Tax basis of property)</m:t>
            </m:r>
          </m:num>
          <m:den>
            <m:r>
              <w:rPr>
                <w:rFonts w:ascii="Cambria Math" w:eastAsia="Times New Roman" w:hAnsi="Cambria Math" w:cs="Helvetica"/>
                <w:color w:val="000000"/>
                <w:sz w:val="24"/>
                <w:szCs w:val="24"/>
              </w:rPr>
              <m:t>27.5 years</m:t>
            </m:r>
          </m:den>
        </m:f>
      </m:oMath>
    </w:p>
    <w:p w14:paraId="36564EB8" w14:textId="6D7C2EC9" w:rsidR="00CA1E78" w:rsidRDefault="00587242" w:rsidP="00CA1E78">
      <w:pPr>
        <w:spacing w:line="36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For the property at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ADR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«ADR»</w:t>
      </w:r>
      <w:r>
        <w:rPr>
          <w:rFonts w:ascii="Helvetica" w:eastAsia="Times New Roman" w:hAnsi="Helvetica" w:cs="Helvetica"/>
          <w:color w:val="000000"/>
          <w:sz w:val="24"/>
          <w:szCs w:val="24"/>
        </w:rPr>
        <w:fldChar w:fldCharType="end"/>
      </w:r>
      <w:r>
        <w:rPr>
          <w:rFonts w:ascii="Helvetica" w:eastAsia="Times New Roman" w:hAnsi="Helvetica" w:cs="Helvetica"/>
          <w:color w:val="000000"/>
          <w:sz w:val="24"/>
          <w:szCs w:val="24"/>
        </w:rPr>
        <w:t xml:space="preserve"> the annual allowance of </w:t>
      </w:r>
      <w:r w:rsidR="00417813">
        <w:rPr>
          <w:rFonts w:ascii="Helvetica" w:eastAsia="Times New Roman" w:hAnsi="Helvetica" w:cs="Helvetica"/>
          <w:color w:val="000000"/>
          <w:sz w:val="24"/>
          <w:szCs w:val="24"/>
        </w:rPr>
        <w:t>depreciation</w:t>
      </w:r>
      <w:r>
        <w:rPr>
          <w:rFonts w:ascii="Helvetica" w:eastAsia="Times New Roman" w:hAnsi="Helvetica" w:cs="Helvetica"/>
          <w:color w:val="000000"/>
          <w:sz w:val="24"/>
          <w:szCs w:val="24"/>
        </w:rPr>
        <w:t xml:space="preserve"> is assumed to be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DEPYR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«DEPYR»</w:t>
      </w:r>
      <w:r>
        <w:rPr>
          <w:rFonts w:ascii="Helvetica" w:eastAsia="Times New Roman" w:hAnsi="Helvetica" w:cs="Helvetica"/>
          <w:color w:val="000000"/>
          <w:sz w:val="24"/>
          <w:szCs w:val="24"/>
        </w:rPr>
        <w:fldChar w:fldCharType="end"/>
      </w:r>
      <w:r>
        <w:rPr>
          <w:rFonts w:ascii="Helvetica" w:eastAsia="Times New Roman" w:hAnsi="Helvetica" w:cs="Helvetica"/>
          <w:color w:val="000000"/>
          <w:sz w:val="24"/>
          <w:szCs w:val="24"/>
        </w:rPr>
        <w:t xml:space="preserve"> per year. Please note that in the budget use scenario only the rented portion of the building is subject to depreciation which it is assumed to be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DEPBU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«DEPBU»</w:t>
      </w:r>
      <w:r>
        <w:rPr>
          <w:rFonts w:ascii="Helvetica" w:eastAsia="Times New Roman" w:hAnsi="Helvetica" w:cs="Helvetica"/>
          <w:color w:val="000000"/>
          <w:sz w:val="24"/>
          <w:szCs w:val="24"/>
        </w:rPr>
        <w:fldChar w:fldCharType="end"/>
      </w:r>
      <w:r>
        <w:rPr>
          <w:rFonts w:ascii="Helvetica" w:eastAsia="Times New Roman" w:hAnsi="Helvetica" w:cs="Helvetica"/>
          <w:color w:val="000000"/>
          <w:sz w:val="24"/>
          <w:szCs w:val="24"/>
        </w:rPr>
        <w:t xml:space="preserve"> per year.</w:t>
      </w:r>
    </w:p>
    <w:p w14:paraId="1A988EC3" w14:textId="77777777" w:rsidR="00587242" w:rsidRDefault="00587242" w:rsidP="00CA1E78">
      <w:pPr>
        <w:spacing w:line="360" w:lineRule="auto"/>
        <w:jc w:val="both"/>
        <w:rPr>
          <w:rFonts w:ascii="Helvetica" w:eastAsia="Times New Roman" w:hAnsi="Helvetica" w:cs="Helvetica"/>
          <w:color w:val="000000"/>
          <w:sz w:val="24"/>
          <w:szCs w:val="24"/>
        </w:rPr>
      </w:pPr>
    </w:p>
    <w:p w14:paraId="30F71D36" w14:textId="71E48CD8" w:rsidR="00154FAF" w:rsidRDefault="00154FAF" w:rsidP="00154FAF">
      <w:pPr>
        <w:spacing w:line="360" w:lineRule="auto"/>
        <w:jc w:val="both"/>
        <w:rPr>
          <w:rFonts w:ascii="Helvetica" w:eastAsia="Times New Roman" w:hAnsi="Helvetica" w:cs="Helvetica"/>
          <w:color w:val="000000"/>
          <w:sz w:val="24"/>
          <w:szCs w:val="24"/>
        </w:rPr>
      </w:pPr>
    </w:p>
    <w:p w14:paraId="67FC3BA5" w14:textId="52890879" w:rsidR="00154FAF" w:rsidRDefault="00154FAF" w:rsidP="00154FAF">
      <w:pPr>
        <w:spacing w:line="360" w:lineRule="auto"/>
        <w:jc w:val="both"/>
        <w:rPr>
          <w:rFonts w:ascii="Helvetica" w:eastAsia="Times New Roman" w:hAnsi="Helvetica" w:cs="Helvetica"/>
          <w:color w:val="000000"/>
          <w:sz w:val="24"/>
          <w:szCs w:val="24"/>
        </w:rPr>
      </w:pPr>
    </w:p>
    <w:p w14:paraId="6E16FA7F" w14:textId="0294D399" w:rsidR="00154FAF" w:rsidRDefault="00154FAF" w:rsidP="00154FAF">
      <w:pPr>
        <w:spacing w:line="360" w:lineRule="auto"/>
        <w:jc w:val="both"/>
        <w:rPr>
          <w:rFonts w:ascii="Helvetica" w:eastAsia="Times New Roman" w:hAnsi="Helvetica" w:cs="Helvetica"/>
          <w:color w:val="000000"/>
          <w:sz w:val="24"/>
          <w:szCs w:val="24"/>
        </w:rPr>
      </w:pPr>
    </w:p>
    <w:p w14:paraId="228658FE" w14:textId="1710DBE6" w:rsidR="00154FAF" w:rsidRDefault="00154FAF" w:rsidP="00154FAF">
      <w:pPr>
        <w:spacing w:line="360" w:lineRule="auto"/>
        <w:jc w:val="both"/>
        <w:rPr>
          <w:rFonts w:ascii="Helvetica" w:eastAsia="Times New Roman" w:hAnsi="Helvetica" w:cs="Helvetica"/>
          <w:color w:val="000000"/>
          <w:sz w:val="24"/>
          <w:szCs w:val="24"/>
        </w:rPr>
      </w:pPr>
    </w:p>
    <w:p w14:paraId="7CD0C5F1" w14:textId="7046A203" w:rsidR="00154FAF" w:rsidRDefault="00154FAF" w:rsidP="00154FAF">
      <w:pPr>
        <w:spacing w:line="360" w:lineRule="auto"/>
        <w:jc w:val="both"/>
        <w:rPr>
          <w:rFonts w:ascii="Helvetica" w:eastAsia="Times New Roman" w:hAnsi="Helvetica" w:cs="Helvetica"/>
          <w:color w:val="000000"/>
          <w:sz w:val="24"/>
          <w:szCs w:val="24"/>
        </w:rPr>
      </w:pPr>
    </w:p>
    <w:p w14:paraId="60C249D8" w14:textId="1897CDF2" w:rsidR="00154FAF" w:rsidRDefault="00154FAF" w:rsidP="00154FAF">
      <w:pPr>
        <w:spacing w:line="360" w:lineRule="auto"/>
        <w:jc w:val="both"/>
        <w:rPr>
          <w:rFonts w:ascii="Helvetica" w:eastAsia="Times New Roman" w:hAnsi="Helvetica" w:cs="Helvetica"/>
          <w:color w:val="000000"/>
          <w:sz w:val="24"/>
          <w:szCs w:val="24"/>
        </w:rPr>
      </w:pPr>
    </w:p>
    <w:p w14:paraId="1C7DD52A" w14:textId="22675F96" w:rsidR="00154FAF" w:rsidRDefault="00154FAF" w:rsidP="00154FAF">
      <w:pPr>
        <w:spacing w:line="360" w:lineRule="auto"/>
        <w:jc w:val="both"/>
        <w:rPr>
          <w:rFonts w:ascii="Helvetica" w:eastAsia="Times New Roman" w:hAnsi="Helvetica" w:cs="Helvetica"/>
          <w:color w:val="000000"/>
          <w:sz w:val="24"/>
          <w:szCs w:val="24"/>
        </w:rPr>
      </w:pPr>
    </w:p>
    <w:p w14:paraId="2B46D59F" w14:textId="77777777" w:rsidR="000547DF" w:rsidRDefault="000547DF" w:rsidP="00154FAF">
      <w:pPr>
        <w:spacing w:line="360" w:lineRule="auto"/>
        <w:jc w:val="both"/>
        <w:rPr>
          <w:rFonts w:ascii="Helvetica" w:eastAsia="Times New Roman" w:hAnsi="Helvetica" w:cs="Helvetica"/>
          <w:color w:val="000000"/>
          <w:sz w:val="24"/>
          <w:szCs w:val="24"/>
        </w:rPr>
        <w:sectPr w:rsidR="000547DF" w:rsidSect="004C4C63">
          <w:footerReference w:type="default" r:id="rId14"/>
          <w:pgSz w:w="12240" w:h="15840" w:code="1"/>
          <w:pgMar w:top="1440" w:right="1440" w:bottom="1440" w:left="1440" w:header="720" w:footer="720" w:gutter="0"/>
          <w:pgNumType w:start="0"/>
          <w:cols w:space="720"/>
          <w:docGrid w:linePitch="360"/>
        </w:sectPr>
      </w:pPr>
    </w:p>
    <w:p w14:paraId="4C9F8A47" w14:textId="19E61881" w:rsidR="00154FAF" w:rsidRDefault="00154FAF" w:rsidP="00154FAF">
      <w:pPr>
        <w:spacing w:line="360" w:lineRule="auto"/>
        <w:jc w:val="both"/>
        <w:rPr>
          <w:rFonts w:ascii="Helvetica" w:eastAsia="Times New Roman" w:hAnsi="Helvetica" w:cs="Helvetica"/>
          <w:color w:val="000000"/>
          <w:sz w:val="24"/>
          <w:szCs w:val="24"/>
        </w:rPr>
      </w:pPr>
    </w:p>
    <w:p w14:paraId="09FCEF35" w14:textId="7EF702B9" w:rsidR="00154FAF" w:rsidRPr="00154FAF" w:rsidRDefault="00154FAF" w:rsidP="00125840">
      <w:pPr>
        <w:spacing w:line="360" w:lineRule="auto"/>
        <w:jc w:val="both"/>
        <w:rPr>
          <w:rFonts w:ascii="Helvetica" w:eastAsia="Times New Roman" w:hAnsi="Helvetica" w:cs="Helvetica"/>
          <w:color w:val="000000"/>
          <w:sz w:val="24"/>
          <w:szCs w:val="24"/>
        </w:rPr>
      </w:pPr>
      <w:r w:rsidRPr="002C07D3">
        <w:rPr>
          <w:rFonts w:ascii="Helvetica" w:eastAsia="Times New Roman" w:hAnsi="Helvetica" w:cs="Helvetica"/>
          <w:b/>
          <w:bCs/>
          <w:i/>
          <w:iCs/>
          <w:color w:val="000000"/>
          <w:sz w:val="24"/>
          <w:szCs w:val="24"/>
        </w:rPr>
        <w:lastRenderedPageBreak/>
        <w:t>Passive Income Tax Calculation:</w:t>
      </w:r>
      <w:r>
        <w:rPr>
          <w:rFonts w:ascii="Helvetica" w:eastAsia="Times New Roman" w:hAnsi="Helvetica" w:cs="Helvetica"/>
          <w:b/>
          <w:bCs/>
          <w:i/>
          <w:iCs/>
          <w:color w:val="000000"/>
          <w:sz w:val="24"/>
          <w:szCs w:val="24"/>
        </w:rPr>
        <w:t xml:space="preserve"> </w:t>
      </w:r>
      <w:r w:rsidRPr="002C07D3">
        <w:rPr>
          <w:rFonts w:ascii="Helvetica" w:eastAsia="Times New Roman" w:hAnsi="Helvetica" w:cs="Helvetica"/>
          <w:color w:val="000000"/>
          <w:sz w:val="24"/>
          <w:szCs w:val="24"/>
        </w:rPr>
        <w:t>The tax payable on the property’s income is calculated by multiplying the owner’s marginal income tax rate by the taxable income. </w:t>
      </w:r>
    </w:p>
    <w:p w14:paraId="677C7240" w14:textId="6841CE2F" w:rsidR="00E562D4" w:rsidRPr="002C07D3" w:rsidRDefault="00125840" w:rsidP="006A7E2C">
      <w:pPr>
        <w:spacing w:line="360" w:lineRule="auto"/>
        <w:jc w:val="both"/>
        <w:rPr>
          <w:rFonts w:ascii="Helvetica" w:eastAsia="Times New Roman" w:hAnsi="Helvetica" w:cs="Helvetica"/>
          <w:sz w:val="24"/>
          <w:szCs w:val="24"/>
        </w:rPr>
      </w:pPr>
      <w:r w:rsidRPr="006A7E2C">
        <w:rPr>
          <w:rFonts w:ascii="Helvetica" w:eastAsia="Times New Roman" w:hAnsi="Helvetica" w:cs="Helvetica"/>
          <w:i/>
          <w:iCs/>
          <w:color w:val="000000"/>
          <w:sz w:val="24"/>
          <w:szCs w:val="24"/>
        </w:rPr>
        <w:t>Example</w:t>
      </w:r>
      <w:r w:rsidR="006A7E2C">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t>If this property is mainly used for rental purposes, it is assumed the</w:t>
      </w:r>
      <w:r w:rsidR="00154FAF">
        <w:rPr>
          <w:rFonts w:ascii="Helvetica" w:eastAsia="Times New Roman" w:hAnsi="Helvetica" w:cs="Helvetica"/>
          <w:color w:val="000000"/>
          <w:sz w:val="24"/>
          <w:szCs w:val="24"/>
        </w:rPr>
        <w:t xml:space="preserve"> n</w:t>
      </w:r>
      <w:r w:rsidR="00E562D4" w:rsidRPr="002C07D3">
        <w:rPr>
          <w:rFonts w:ascii="Helvetica" w:eastAsia="Times New Roman" w:hAnsi="Helvetica" w:cs="Helvetica"/>
          <w:color w:val="000000"/>
          <w:sz w:val="24"/>
          <w:szCs w:val="24"/>
        </w:rPr>
        <w:t xml:space="preserve">et collected rent </w:t>
      </w:r>
      <w:r>
        <w:rPr>
          <w:rFonts w:ascii="Helvetica" w:eastAsia="Times New Roman" w:hAnsi="Helvetica" w:cs="Helvetica"/>
          <w:color w:val="000000"/>
          <w:sz w:val="24"/>
          <w:szCs w:val="24"/>
        </w:rPr>
        <w:t xml:space="preserve">would be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RENTC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«RENTC»</w:t>
      </w:r>
      <w:r>
        <w:rPr>
          <w:rFonts w:ascii="Helvetica" w:eastAsia="Times New Roman" w:hAnsi="Helvetica" w:cs="Helvetica"/>
          <w:color w:val="000000"/>
          <w:sz w:val="24"/>
          <w:szCs w:val="24"/>
        </w:rPr>
        <w:fldChar w:fldCharType="end"/>
      </w:r>
      <w:r>
        <w:rPr>
          <w:rFonts w:ascii="Helvetica" w:eastAsia="Times New Roman" w:hAnsi="Helvetica" w:cs="Helvetica"/>
          <w:color w:val="000000"/>
          <w:sz w:val="24"/>
          <w:szCs w:val="24"/>
        </w:rPr>
        <w:t xml:space="preserve"> </w:t>
      </w:r>
      <w:r w:rsidR="00E562D4" w:rsidRPr="002C07D3">
        <w:rPr>
          <w:rFonts w:ascii="Helvetica" w:eastAsia="Times New Roman" w:hAnsi="Helvetica" w:cs="Helvetica"/>
          <w:color w:val="000000"/>
          <w:sz w:val="24"/>
          <w:szCs w:val="24"/>
        </w:rPr>
        <w:t>per year</w:t>
      </w:r>
      <w:r>
        <w:rPr>
          <w:rFonts w:ascii="Helvetica" w:eastAsia="Times New Roman" w:hAnsi="Helvetica" w:cs="Helvetica"/>
          <w:color w:val="000000"/>
          <w:sz w:val="24"/>
          <w:szCs w:val="24"/>
        </w:rPr>
        <w:t xml:space="preserve"> in the first year</w:t>
      </w:r>
      <w:r w:rsidR="00E562D4" w:rsidRPr="002C07D3">
        <w:rPr>
          <w:rFonts w:ascii="Helvetica" w:eastAsia="Times New Roman" w:hAnsi="Helvetica" w:cs="Helvetica"/>
          <w:color w:val="000000"/>
          <w:sz w:val="24"/>
          <w:szCs w:val="24"/>
        </w:rPr>
        <w:t>. The operation costs of the property</w:t>
      </w:r>
      <w:r>
        <w:rPr>
          <w:rFonts w:ascii="Helvetica" w:eastAsia="Times New Roman" w:hAnsi="Helvetica" w:cs="Helvetica"/>
          <w:color w:val="000000"/>
          <w:sz w:val="24"/>
          <w:szCs w:val="24"/>
        </w:rPr>
        <w:t xml:space="preserve"> for the same year</w:t>
      </w:r>
      <w:r w:rsidR="00E562D4" w:rsidRPr="002C07D3">
        <w:rPr>
          <w:rFonts w:ascii="Helvetica" w:eastAsia="Times New Roman" w:hAnsi="Helvetica" w:cs="Helvetica"/>
          <w:color w:val="000000"/>
          <w:sz w:val="24"/>
          <w:szCs w:val="24"/>
        </w:rPr>
        <w:t xml:space="preserve"> that includes property taxes, utilities, repairs are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OPRC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«OPRC»</w:t>
      </w:r>
      <w:r>
        <w:rPr>
          <w:rFonts w:ascii="Helvetica" w:eastAsia="Times New Roman" w:hAnsi="Helvetica" w:cs="Helvetica"/>
          <w:color w:val="000000"/>
          <w:sz w:val="24"/>
          <w:szCs w:val="24"/>
        </w:rPr>
        <w:fldChar w:fldCharType="end"/>
      </w:r>
      <w:r>
        <w:rPr>
          <w:rFonts w:ascii="Helvetica" w:eastAsia="Times New Roman" w:hAnsi="Helvetica" w:cs="Helvetica"/>
          <w:color w:val="000000"/>
          <w:sz w:val="24"/>
          <w:szCs w:val="24"/>
        </w:rPr>
        <w:t xml:space="preserve"> </w:t>
      </w:r>
      <w:r w:rsidR="00E562D4" w:rsidRPr="002C07D3">
        <w:rPr>
          <w:rFonts w:ascii="Helvetica" w:eastAsia="Times New Roman" w:hAnsi="Helvetica" w:cs="Helvetica"/>
          <w:color w:val="000000"/>
          <w:sz w:val="24"/>
          <w:szCs w:val="24"/>
        </w:rPr>
        <w:t xml:space="preserve">per year. The Tax Basis of property is </w:t>
      </w:r>
      <w:r>
        <w:rPr>
          <w:rFonts w:ascii="Helvetica" w:eastAsia="Times New Roman" w:hAnsi="Helvetica" w:cs="Helvetica"/>
          <w:color w:val="000000"/>
          <w:sz w:val="24"/>
          <w:szCs w:val="24"/>
        </w:rPr>
        <w:t xml:space="preserve">assumed to be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TAXB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«TAXB»</w:t>
      </w:r>
      <w:r>
        <w:rPr>
          <w:rFonts w:ascii="Helvetica" w:eastAsia="Times New Roman" w:hAnsi="Helvetica" w:cs="Helvetica"/>
          <w:color w:val="000000"/>
          <w:sz w:val="24"/>
          <w:szCs w:val="24"/>
        </w:rPr>
        <w:fldChar w:fldCharType="end"/>
      </w:r>
      <w:r w:rsidR="00E562D4" w:rsidRPr="002C07D3">
        <w:rPr>
          <w:rFonts w:ascii="Helvetica" w:eastAsia="Times New Roman" w:hAnsi="Helvetica" w:cs="Helvetica"/>
          <w:color w:val="000000"/>
          <w:sz w:val="24"/>
          <w:szCs w:val="24"/>
        </w:rPr>
        <w:t>. Interest</w:t>
      </w:r>
      <w:r w:rsidR="00CA1E78">
        <w:rPr>
          <w:rFonts w:ascii="Helvetica" w:eastAsia="Times New Roman" w:hAnsi="Helvetica" w:cs="Helvetica"/>
          <w:color w:val="000000"/>
          <w:sz w:val="24"/>
          <w:szCs w:val="24"/>
        </w:rPr>
        <w:t xml:space="preserve"> paid</w:t>
      </w:r>
      <w:r w:rsidR="00E562D4" w:rsidRPr="002C07D3">
        <w:rPr>
          <w:rFonts w:ascii="Helvetica" w:eastAsia="Times New Roman" w:hAnsi="Helvetica" w:cs="Helvetica"/>
          <w:color w:val="000000"/>
          <w:sz w:val="24"/>
          <w:szCs w:val="24"/>
        </w:rPr>
        <w:t xml:space="preserve"> on</w:t>
      </w:r>
      <w:r w:rsidR="00E562D4">
        <w:rPr>
          <w:rFonts w:ascii="Helvetica" w:eastAsia="Times New Roman" w:hAnsi="Helvetica" w:cs="Helvetica"/>
          <w:color w:val="000000"/>
          <w:sz w:val="24"/>
          <w:szCs w:val="24"/>
        </w:rPr>
        <w:t xml:space="preserve"> the</w:t>
      </w:r>
      <w:r w:rsidR="00E562D4" w:rsidRPr="002C07D3">
        <w:rPr>
          <w:rFonts w:ascii="Helvetica" w:eastAsia="Times New Roman" w:hAnsi="Helvetica" w:cs="Helvetica"/>
          <w:color w:val="000000"/>
          <w:sz w:val="24"/>
          <w:szCs w:val="24"/>
        </w:rPr>
        <w:t xml:space="preserve"> loan for that year is </w:t>
      </w:r>
      <w:r w:rsidR="00CA1E78">
        <w:rPr>
          <w:rFonts w:ascii="Helvetica" w:eastAsia="Times New Roman" w:hAnsi="Helvetica" w:cs="Helvetica"/>
          <w:color w:val="000000"/>
          <w:sz w:val="24"/>
          <w:szCs w:val="24"/>
        </w:rPr>
        <w:t>also</w:t>
      </w:r>
      <w:r>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fldChar w:fldCharType="begin"/>
      </w:r>
      <w:r>
        <w:rPr>
          <w:rFonts w:ascii="Helvetica" w:eastAsia="Times New Roman" w:hAnsi="Helvetica" w:cs="Helvetica"/>
          <w:color w:val="000000"/>
          <w:sz w:val="24"/>
          <w:szCs w:val="24"/>
        </w:rPr>
        <w:instrText xml:space="preserve"> MERGEFIELD  INTR  \* MERGEFORMAT </w:instrText>
      </w:r>
      <w:r>
        <w:rPr>
          <w:rFonts w:ascii="Helvetica" w:eastAsia="Times New Roman" w:hAnsi="Helvetica" w:cs="Helvetica"/>
          <w:color w:val="000000"/>
          <w:sz w:val="24"/>
          <w:szCs w:val="24"/>
        </w:rPr>
        <w:fldChar w:fldCharType="separate"/>
      </w:r>
      <w:r>
        <w:rPr>
          <w:rFonts w:ascii="Helvetica" w:eastAsia="Times New Roman" w:hAnsi="Helvetica" w:cs="Helvetica"/>
          <w:noProof/>
          <w:color w:val="000000"/>
          <w:sz w:val="24"/>
          <w:szCs w:val="24"/>
        </w:rPr>
        <w:t>«INTR»</w:t>
      </w:r>
      <w:r>
        <w:rPr>
          <w:rFonts w:ascii="Helvetica" w:eastAsia="Times New Roman" w:hAnsi="Helvetica" w:cs="Helvetica"/>
          <w:color w:val="000000"/>
          <w:sz w:val="24"/>
          <w:szCs w:val="24"/>
        </w:rPr>
        <w:fldChar w:fldCharType="end"/>
      </w:r>
      <w:r w:rsidR="00E562D4" w:rsidRPr="002C07D3">
        <w:rPr>
          <w:rFonts w:ascii="Helvetica" w:eastAsia="Times New Roman" w:hAnsi="Helvetica" w:cs="Helvetica"/>
          <w:color w:val="000000"/>
          <w:sz w:val="24"/>
          <w:szCs w:val="24"/>
        </w:rPr>
        <w:t>.</w:t>
      </w:r>
      <w:r w:rsidR="00CA1E78">
        <w:rPr>
          <w:rFonts w:ascii="Helvetica" w:eastAsia="Times New Roman" w:hAnsi="Helvetica" w:cs="Helvetica"/>
          <w:color w:val="000000"/>
          <w:sz w:val="24"/>
          <w:szCs w:val="24"/>
        </w:rPr>
        <w:t xml:space="preserve"> The tax</w:t>
      </w:r>
      <w:r w:rsidR="00154FAF">
        <w:rPr>
          <w:rFonts w:ascii="Helvetica" w:eastAsia="Times New Roman" w:hAnsi="Helvetica" w:cs="Helvetica"/>
          <w:color w:val="000000"/>
          <w:sz w:val="24"/>
          <w:szCs w:val="24"/>
        </w:rPr>
        <w:t xml:space="preserve"> payable</w:t>
      </w:r>
      <w:r w:rsidR="00CA1E78">
        <w:rPr>
          <w:rFonts w:ascii="Helvetica" w:eastAsia="Times New Roman" w:hAnsi="Helvetica" w:cs="Helvetica"/>
          <w:color w:val="000000"/>
          <w:sz w:val="24"/>
          <w:szCs w:val="24"/>
        </w:rPr>
        <w:t xml:space="preserve"> at the end of that year is calculated as below:</w:t>
      </w:r>
    </w:p>
    <w:p w14:paraId="28151629" w14:textId="2D478E2A" w:rsidR="00CA1E78" w:rsidRDefault="00CA1E78" w:rsidP="00E562D4">
      <w:pPr>
        <w:spacing w:line="360" w:lineRule="auto"/>
        <w:jc w:val="both"/>
        <w:rPr>
          <w:rFonts w:ascii="Helvetica" w:eastAsia="Times New Roman" w:hAnsi="Helvetica" w:cs="Helvetica"/>
          <w:color w:val="000000"/>
          <w:sz w:val="24"/>
          <w:szCs w:val="24"/>
        </w:rPr>
      </w:pPr>
      <m:oMath>
        <m:r>
          <w:rPr>
            <w:rFonts w:ascii="Cambria Math" w:eastAsia="Times New Roman" w:hAnsi="Cambria Math" w:cs="Helvetica"/>
            <w:color w:val="000000"/>
            <w:sz w:val="24"/>
            <w:szCs w:val="24"/>
          </w:rPr>
          <m:t>Tax Depreciation</m:t>
        </m:r>
      </m:oMath>
      <w:r>
        <w:rPr>
          <w:rFonts w:ascii="Helvetica" w:eastAsia="Times New Roman" w:hAnsi="Helvetica" w:cs="Helvetica"/>
          <w:color w:val="000000"/>
          <w:sz w:val="24"/>
          <w:szCs w:val="24"/>
        </w:rPr>
        <w:t xml:space="preserve"> </w:t>
      </w:r>
      <w:r w:rsidR="00E562D4" w:rsidRPr="002C07D3">
        <w:rPr>
          <w:rFonts w:ascii="Helvetica" w:eastAsia="Times New Roman" w:hAnsi="Helvetica" w:cs="Helvetica"/>
          <w:color w:val="000000"/>
          <w:sz w:val="24"/>
          <w:szCs w:val="24"/>
        </w:rPr>
        <w:t>=</w:t>
      </w:r>
      <m:oMath>
        <m:r>
          <w:rPr>
            <w:rFonts w:ascii="Cambria Math" w:eastAsia="Times New Roman" w:hAnsi="Cambria Math" w:cs="Helvetica"/>
            <w:color w:val="000000"/>
            <w:sz w:val="24"/>
            <w:szCs w:val="24"/>
          </w:rPr>
          <m:t xml:space="preserve"> </m:t>
        </m:r>
        <m:f>
          <m:fPr>
            <m:ctrlPr>
              <w:rPr>
                <w:rFonts w:ascii="Cambria Math" w:eastAsia="Times New Roman" w:hAnsi="Cambria Math" w:cs="Helvetica"/>
                <w:i/>
                <w:color w:val="000000"/>
                <w:sz w:val="24"/>
                <w:szCs w:val="24"/>
              </w:rPr>
            </m:ctrlPr>
          </m:fPr>
          <m:num>
            <m:r>
              <w:rPr>
                <w:rFonts w:ascii="Cambria Math" w:eastAsia="Times New Roman" w:hAnsi="Cambria Math" w:cs="Helvetica"/>
                <w:color w:val="000000"/>
                <w:sz w:val="24"/>
                <w:szCs w:val="24"/>
              </w:rPr>
              <m:t>Building Value  (Tax basis of property)</m:t>
            </m:r>
          </m:num>
          <m:den>
            <m:r>
              <w:rPr>
                <w:rFonts w:ascii="Cambria Math" w:eastAsia="Times New Roman" w:hAnsi="Cambria Math" w:cs="Helvetica"/>
                <w:color w:val="000000"/>
                <w:sz w:val="24"/>
                <w:szCs w:val="24"/>
              </w:rPr>
              <m:t>27.5 years</m:t>
            </m:r>
          </m:den>
        </m:f>
      </m:oMath>
      <w:r w:rsidR="00125840">
        <w:rPr>
          <w:rFonts w:ascii="Helvetica" w:eastAsia="Times New Roman" w:hAnsi="Helvetica" w:cs="Helvetica"/>
          <w:color w:val="000000"/>
          <w:sz w:val="24"/>
          <w:szCs w:val="24"/>
        </w:rPr>
        <w:t xml:space="preserve"> = </w:t>
      </w:r>
      <w:r w:rsidR="00125840">
        <w:rPr>
          <w:rFonts w:ascii="Helvetica" w:eastAsia="Times New Roman" w:hAnsi="Helvetica" w:cs="Helvetica"/>
          <w:color w:val="000000"/>
          <w:sz w:val="24"/>
          <w:szCs w:val="24"/>
        </w:rPr>
        <w:fldChar w:fldCharType="begin"/>
      </w:r>
      <w:r w:rsidR="00125840">
        <w:rPr>
          <w:rFonts w:ascii="Helvetica" w:eastAsia="Times New Roman" w:hAnsi="Helvetica" w:cs="Helvetica"/>
          <w:color w:val="000000"/>
          <w:sz w:val="24"/>
          <w:szCs w:val="24"/>
        </w:rPr>
        <w:instrText xml:space="preserve"> MERGEFIELD  DEPYR  \* MERGEFORMAT </w:instrText>
      </w:r>
      <w:r w:rsidR="00125840">
        <w:rPr>
          <w:rFonts w:ascii="Helvetica" w:eastAsia="Times New Roman" w:hAnsi="Helvetica" w:cs="Helvetica"/>
          <w:color w:val="000000"/>
          <w:sz w:val="24"/>
          <w:szCs w:val="24"/>
        </w:rPr>
        <w:fldChar w:fldCharType="separate"/>
      </w:r>
      <w:r w:rsidR="00125840">
        <w:rPr>
          <w:rFonts w:ascii="Helvetica" w:eastAsia="Times New Roman" w:hAnsi="Helvetica" w:cs="Helvetica"/>
          <w:noProof/>
          <w:color w:val="000000"/>
          <w:sz w:val="24"/>
          <w:szCs w:val="24"/>
        </w:rPr>
        <w:t>«DEPYR»</w:t>
      </w:r>
      <w:r w:rsidR="00125840">
        <w:rPr>
          <w:rFonts w:ascii="Helvetica" w:eastAsia="Times New Roman" w:hAnsi="Helvetica" w:cs="Helvetica"/>
          <w:color w:val="000000"/>
          <w:sz w:val="24"/>
          <w:szCs w:val="24"/>
        </w:rPr>
        <w:fldChar w:fldCharType="end"/>
      </w:r>
    </w:p>
    <w:p w14:paraId="2C37E162" w14:textId="6694CBBA" w:rsidR="00E562D4" w:rsidRPr="002C07D3" w:rsidRDefault="00E562D4" w:rsidP="00E562D4">
      <w:pPr>
        <w:spacing w:line="360" w:lineRule="auto"/>
        <w:jc w:val="both"/>
        <w:rPr>
          <w:rFonts w:ascii="Helvetica" w:eastAsia="Times New Roman" w:hAnsi="Helvetica" w:cs="Helvetica"/>
          <w:sz w:val="24"/>
          <w:szCs w:val="24"/>
        </w:rPr>
      </w:pP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715"/>
      </w:tblGrid>
      <w:tr w:rsidR="00566C32" w:rsidRPr="00BC1641" w14:paraId="0D8C82CA" w14:textId="77777777" w:rsidTr="007D52C7">
        <w:trPr>
          <w:trHeight w:val="102"/>
          <w:jc w:val="right"/>
        </w:trPr>
        <w:tc>
          <w:tcPr>
            <w:tcW w:w="5000" w:type="pct"/>
            <w:gridSpan w:val="2"/>
            <w:tcBorders>
              <w:top w:val="single" w:sz="6" w:space="0" w:color="B4C6E7" w:themeColor="accent1" w:themeTint="66"/>
              <w:bottom w:val="single" w:sz="6" w:space="0" w:color="B4C6E7" w:themeColor="accent1" w:themeTint="66"/>
            </w:tcBorders>
            <w:shd w:val="clear" w:color="auto" w:fill="F6F8FC"/>
          </w:tcPr>
          <w:p w14:paraId="65EE99BB" w14:textId="77777777" w:rsidR="00566C32" w:rsidRPr="00BC1641" w:rsidRDefault="00566C32" w:rsidP="007D52C7">
            <w:pPr>
              <w:spacing w:line="360" w:lineRule="auto"/>
              <w:jc w:val="both"/>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Income Tax Calculation (1</w:t>
            </w:r>
            <w:r w:rsidRPr="00BC1641">
              <w:rPr>
                <w:rFonts w:ascii="Helvetica" w:hAnsi="Helvetica" w:cs="Helvetica"/>
                <w:bCs/>
                <w:color w:val="4472C4" w:themeColor="accent1"/>
                <w:sz w:val="20"/>
                <w:szCs w:val="20"/>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
        </w:tc>
      </w:tr>
      <w:tr w:rsidR="00566C32" w:rsidRPr="00D51258" w14:paraId="4516C962" w14:textId="77777777" w:rsidTr="007D52C7">
        <w:trPr>
          <w:trHeight w:val="360"/>
          <w:jc w:val="right"/>
        </w:trPr>
        <w:tc>
          <w:tcPr>
            <w:tcW w:w="4084" w:type="pct"/>
            <w:tcBorders>
              <w:top w:val="single" w:sz="6" w:space="0" w:color="B4C6E7" w:themeColor="accent1" w:themeTint="66"/>
            </w:tcBorders>
          </w:tcPr>
          <w:p w14:paraId="6282296A" w14:textId="77777777" w:rsidR="00566C32" w:rsidRPr="00EC0F36" w:rsidRDefault="00566C32" w:rsidP="007D52C7">
            <w:pPr>
              <w:spacing w:line="360" w:lineRule="auto"/>
              <w:jc w:val="both"/>
              <w:rPr>
                <w:rFonts w:ascii="Helvetica" w:hAnsi="Helvetica" w:cs="Helvetica"/>
                <w:sz w:val="20"/>
                <w:szCs w:val="20"/>
              </w:rPr>
            </w:pPr>
            <w:r w:rsidRPr="00EC0F36">
              <w:rPr>
                <w:rFonts w:ascii="Helvetica" w:hAnsi="Helvetica" w:cs="Helvetica"/>
                <w:sz w:val="20"/>
                <w:szCs w:val="20"/>
              </w:rPr>
              <w:t xml:space="preserve">Gross </w:t>
            </w:r>
            <w:r w:rsidRPr="00AE54F4">
              <w:rPr>
                <w:rFonts w:ascii="Helvetica" w:hAnsi="Helvetica" w:cs="Helvetica"/>
                <w:sz w:val="20"/>
                <w:szCs w:val="20"/>
              </w:rPr>
              <w:t xml:space="preserve">Income </w:t>
            </w:r>
            <w:r>
              <w:rPr>
                <w:rFonts w:ascii="Helvetica" w:hAnsi="Helvetica" w:cs="Helvetica"/>
                <w:sz w:val="20"/>
                <w:szCs w:val="20"/>
              </w:rPr>
              <w:t>(1</w:t>
            </w:r>
            <w:r w:rsidRPr="00AE54F4">
              <w:rPr>
                <w:rFonts w:ascii="Helvetica" w:hAnsi="Helvetica" w:cs="Helvetica"/>
                <w:sz w:val="20"/>
                <w:szCs w:val="20"/>
                <w:vertAlign w:val="superscript"/>
              </w:rPr>
              <w:t>st</w:t>
            </w:r>
            <w:r>
              <w:rPr>
                <w:rFonts w:ascii="Helvetica" w:hAnsi="Helvetica" w:cs="Helvetica"/>
                <w:sz w:val="20"/>
                <w:szCs w:val="20"/>
              </w:rPr>
              <w:t xml:space="preserve"> year)</w:t>
            </w:r>
          </w:p>
        </w:tc>
        <w:tc>
          <w:tcPr>
            <w:tcW w:w="916" w:type="pct"/>
            <w:tcBorders>
              <w:top w:val="single" w:sz="6" w:space="0" w:color="B4C6E7" w:themeColor="accent1" w:themeTint="66"/>
            </w:tcBorders>
          </w:tcPr>
          <w:p w14:paraId="367BC3E4"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GI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«GI»</w:t>
            </w:r>
            <w:r w:rsidRPr="00D51258">
              <w:rPr>
                <w:rFonts w:ascii="Helvetica" w:hAnsi="Helvetica" w:cs="Helvetica"/>
                <w:sz w:val="18"/>
                <w:szCs w:val="18"/>
              </w:rPr>
              <w:fldChar w:fldCharType="end"/>
            </w:r>
          </w:p>
        </w:tc>
      </w:tr>
      <w:tr w:rsidR="00566C32" w:rsidRPr="00D51258" w14:paraId="7871AC76" w14:textId="77777777" w:rsidTr="007D52C7">
        <w:trPr>
          <w:trHeight w:val="360"/>
          <w:jc w:val="right"/>
        </w:trPr>
        <w:tc>
          <w:tcPr>
            <w:tcW w:w="4084" w:type="pct"/>
          </w:tcPr>
          <w:p w14:paraId="1638A05A" w14:textId="77777777" w:rsidR="00566C32" w:rsidRPr="00C04DB9" w:rsidRDefault="00566C32" w:rsidP="007D52C7">
            <w:pPr>
              <w:spacing w:line="360" w:lineRule="auto"/>
              <w:ind w:left="720"/>
              <w:jc w:val="both"/>
              <w:rPr>
                <w:rFonts w:ascii="Helvetica" w:hAnsi="Helvetica" w:cs="Helvetica"/>
                <w:sz w:val="20"/>
                <w:szCs w:val="20"/>
              </w:rPr>
            </w:pPr>
            <w:r w:rsidRPr="00C04DB9">
              <w:rPr>
                <w:rFonts w:ascii="Helvetica" w:hAnsi="Helvetica" w:cs="Helvetica"/>
                <w:sz w:val="20"/>
                <w:szCs w:val="20"/>
              </w:rPr>
              <w:t>Operating Expenses of rented area</w:t>
            </w:r>
          </w:p>
        </w:tc>
        <w:tc>
          <w:tcPr>
            <w:tcW w:w="916" w:type="pct"/>
            <w:tcBorders>
              <w:bottom w:val="single" w:sz="4" w:space="0" w:color="auto"/>
            </w:tcBorders>
          </w:tcPr>
          <w:p w14:paraId="156C57D1"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OE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«OE»</w:t>
            </w:r>
            <w:r w:rsidRPr="00D51258">
              <w:rPr>
                <w:rFonts w:ascii="Helvetica" w:hAnsi="Helvetica" w:cs="Helvetica"/>
                <w:sz w:val="18"/>
                <w:szCs w:val="18"/>
              </w:rPr>
              <w:fldChar w:fldCharType="end"/>
            </w:r>
          </w:p>
        </w:tc>
      </w:tr>
      <w:tr w:rsidR="00566C32" w:rsidRPr="00D51258" w14:paraId="119C2622" w14:textId="77777777" w:rsidTr="007D52C7">
        <w:trPr>
          <w:trHeight w:val="360"/>
          <w:jc w:val="right"/>
        </w:trPr>
        <w:tc>
          <w:tcPr>
            <w:tcW w:w="4084" w:type="pct"/>
          </w:tcPr>
          <w:p w14:paraId="3BF22C45" w14:textId="77777777" w:rsidR="00566C32" w:rsidRPr="00EC0F36" w:rsidRDefault="00566C32" w:rsidP="007D52C7">
            <w:pPr>
              <w:spacing w:line="360" w:lineRule="auto"/>
              <w:jc w:val="both"/>
              <w:rPr>
                <w:rFonts w:ascii="Helvetica" w:hAnsi="Helvetica" w:cs="Helvetica"/>
              </w:rPr>
            </w:pPr>
            <w:r w:rsidRPr="00EC0F36">
              <w:rPr>
                <w:rFonts w:ascii="Helvetica" w:hAnsi="Helvetica" w:cs="Helvetica"/>
              </w:rPr>
              <w:t>Net Operating Income</w:t>
            </w:r>
          </w:p>
        </w:tc>
        <w:tc>
          <w:tcPr>
            <w:tcW w:w="916" w:type="pct"/>
            <w:tcBorders>
              <w:top w:val="single" w:sz="4" w:space="0" w:color="auto"/>
            </w:tcBorders>
          </w:tcPr>
          <w:p w14:paraId="54992137"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NOI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«NOI»</w:t>
            </w:r>
            <w:r w:rsidRPr="00D51258">
              <w:rPr>
                <w:rFonts w:ascii="Helvetica" w:hAnsi="Helvetica" w:cs="Helvetica"/>
                <w:sz w:val="18"/>
                <w:szCs w:val="18"/>
              </w:rPr>
              <w:fldChar w:fldCharType="end"/>
            </w:r>
          </w:p>
        </w:tc>
      </w:tr>
      <w:tr w:rsidR="00566C32" w:rsidRPr="00D51258" w14:paraId="1970128B" w14:textId="77777777" w:rsidTr="007D52C7">
        <w:trPr>
          <w:trHeight w:val="360"/>
          <w:jc w:val="right"/>
        </w:trPr>
        <w:tc>
          <w:tcPr>
            <w:tcW w:w="4084" w:type="pct"/>
          </w:tcPr>
          <w:p w14:paraId="2E6F9017" w14:textId="77777777" w:rsidR="00566C32" w:rsidRPr="00C04DB9" w:rsidRDefault="00566C32" w:rsidP="007D52C7">
            <w:pPr>
              <w:spacing w:line="360" w:lineRule="auto"/>
              <w:ind w:left="720"/>
              <w:jc w:val="both"/>
              <w:rPr>
                <w:rFonts w:ascii="Helvetica" w:hAnsi="Helvetica" w:cs="Helvetica"/>
                <w:sz w:val="20"/>
                <w:szCs w:val="20"/>
              </w:rPr>
            </w:pPr>
            <w:r w:rsidRPr="00C04DB9">
              <w:rPr>
                <w:rFonts w:ascii="Helvetica" w:hAnsi="Helvetica" w:cs="Helvetica"/>
                <w:sz w:val="20"/>
                <w:szCs w:val="20"/>
              </w:rPr>
              <w:t xml:space="preserve">Tax Depreciation </w:t>
            </w:r>
          </w:p>
        </w:tc>
        <w:tc>
          <w:tcPr>
            <w:tcW w:w="916" w:type="pct"/>
          </w:tcPr>
          <w:p w14:paraId="08F77C81"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DEP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«DEP»</w:t>
            </w:r>
            <w:r w:rsidRPr="00D51258">
              <w:rPr>
                <w:rFonts w:ascii="Helvetica" w:hAnsi="Helvetica" w:cs="Helvetica"/>
                <w:sz w:val="18"/>
                <w:szCs w:val="18"/>
              </w:rPr>
              <w:fldChar w:fldCharType="end"/>
            </w:r>
          </w:p>
        </w:tc>
      </w:tr>
      <w:tr w:rsidR="00566C32" w:rsidRPr="00D51258" w14:paraId="6DCF1481" w14:textId="77777777" w:rsidTr="007D52C7">
        <w:trPr>
          <w:trHeight w:val="360"/>
          <w:jc w:val="right"/>
        </w:trPr>
        <w:tc>
          <w:tcPr>
            <w:tcW w:w="4084" w:type="pct"/>
          </w:tcPr>
          <w:p w14:paraId="7B842261" w14:textId="77777777" w:rsidR="00566C32" w:rsidRPr="00C04DB9" w:rsidRDefault="00566C32" w:rsidP="007D52C7">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Paid Interest</w:t>
            </w:r>
            <w:r w:rsidRPr="00C04DB9">
              <w:rPr>
                <w:rFonts w:ascii="Helvetica" w:hAnsi="Helvetica" w:cs="Helvetica"/>
                <w:sz w:val="20"/>
                <w:szCs w:val="20"/>
              </w:rPr>
              <w:tab/>
            </w:r>
          </w:p>
        </w:tc>
        <w:tc>
          <w:tcPr>
            <w:tcW w:w="916" w:type="pct"/>
            <w:tcBorders>
              <w:bottom w:val="single" w:sz="4" w:space="0" w:color="auto"/>
            </w:tcBorders>
          </w:tcPr>
          <w:p w14:paraId="1727D2CF"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IN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«IN»</w:t>
            </w:r>
            <w:r w:rsidRPr="00D51258">
              <w:rPr>
                <w:rFonts w:ascii="Helvetica" w:hAnsi="Helvetica" w:cs="Helvetica"/>
                <w:sz w:val="18"/>
                <w:szCs w:val="18"/>
              </w:rPr>
              <w:fldChar w:fldCharType="end"/>
            </w:r>
          </w:p>
        </w:tc>
      </w:tr>
      <w:tr w:rsidR="00566C32" w:rsidRPr="00D51258" w14:paraId="16D9013E" w14:textId="77777777" w:rsidTr="007D52C7">
        <w:trPr>
          <w:trHeight w:val="360"/>
          <w:jc w:val="right"/>
        </w:trPr>
        <w:tc>
          <w:tcPr>
            <w:tcW w:w="4084" w:type="pct"/>
          </w:tcPr>
          <w:p w14:paraId="3C5299BE" w14:textId="77777777" w:rsidR="00566C32" w:rsidRPr="00EC0F36" w:rsidRDefault="00566C32" w:rsidP="007D52C7">
            <w:pPr>
              <w:tabs>
                <w:tab w:val="left" w:pos="3150"/>
              </w:tabs>
              <w:spacing w:line="360" w:lineRule="auto"/>
              <w:jc w:val="both"/>
              <w:rPr>
                <w:rFonts w:ascii="Helvetica" w:hAnsi="Helvetica" w:cs="Helvetica"/>
              </w:rPr>
            </w:pPr>
            <w:r w:rsidRPr="00EC0F36">
              <w:rPr>
                <w:rFonts w:ascii="Helvetica" w:hAnsi="Helvetica" w:cs="Helvetica"/>
              </w:rPr>
              <w:t>Taxable Income</w:t>
            </w:r>
          </w:p>
        </w:tc>
        <w:tc>
          <w:tcPr>
            <w:tcW w:w="916" w:type="pct"/>
            <w:tcBorders>
              <w:top w:val="single" w:sz="4" w:space="0" w:color="auto"/>
            </w:tcBorders>
          </w:tcPr>
          <w:p w14:paraId="47E0D1AF"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TI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«TI»</w:t>
            </w:r>
            <w:r w:rsidRPr="00D51258">
              <w:rPr>
                <w:rFonts w:ascii="Helvetica" w:hAnsi="Helvetica" w:cs="Helvetica"/>
                <w:sz w:val="18"/>
                <w:szCs w:val="18"/>
              </w:rPr>
              <w:fldChar w:fldCharType="end"/>
            </w:r>
          </w:p>
        </w:tc>
      </w:tr>
      <w:tr w:rsidR="00566C32" w:rsidRPr="00D51258" w14:paraId="44627FE7" w14:textId="77777777" w:rsidTr="007D52C7">
        <w:trPr>
          <w:trHeight w:val="360"/>
          <w:jc w:val="right"/>
        </w:trPr>
        <w:tc>
          <w:tcPr>
            <w:tcW w:w="4084" w:type="pct"/>
          </w:tcPr>
          <w:p w14:paraId="1E1152C2" w14:textId="77777777" w:rsidR="00566C32" w:rsidRPr="00C04DB9" w:rsidRDefault="00566C32" w:rsidP="007D52C7">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Multiply by: Owner’s Tax Rate</w:t>
            </w:r>
          </w:p>
        </w:tc>
        <w:tc>
          <w:tcPr>
            <w:tcW w:w="916" w:type="pct"/>
            <w:tcBorders>
              <w:bottom w:val="single" w:sz="4" w:space="0" w:color="auto"/>
            </w:tcBorders>
          </w:tcPr>
          <w:p w14:paraId="19A0AEE6" w14:textId="77777777" w:rsidR="00566C32" w:rsidRPr="00D51258" w:rsidRDefault="00566C32" w:rsidP="007D52C7">
            <w:pPr>
              <w:spacing w:line="360" w:lineRule="auto"/>
              <w:jc w:val="both"/>
              <w:rPr>
                <w:rFonts w:ascii="Helvetica" w:hAnsi="Helvetica" w:cs="Helvetica"/>
                <w:sz w:val="18"/>
                <w:szCs w:val="18"/>
              </w:rPr>
            </w:pPr>
            <w:r w:rsidRPr="00D51258">
              <w:rPr>
                <w:rFonts w:ascii="Helvetica" w:hAnsi="Helvetica" w:cs="Helvetica"/>
                <w:sz w:val="18"/>
                <w:szCs w:val="18"/>
              </w:rPr>
              <w:t xml:space="preserve">X </w:t>
            </w:r>
            <w:r w:rsidRPr="00D51258">
              <w:rPr>
                <w:rFonts w:ascii="Helvetica" w:hAnsi="Helvetica" w:cs="Helvetica"/>
                <w:sz w:val="18"/>
                <w:szCs w:val="18"/>
              </w:rPr>
              <w:fldChar w:fldCharType="begin"/>
            </w:r>
            <w:r w:rsidRPr="00D51258">
              <w:rPr>
                <w:rFonts w:ascii="Helvetica" w:hAnsi="Helvetica" w:cs="Helvetica"/>
                <w:sz w:val="18"/>
                <w:szCs w:val="18"/>
              </w:rPr>
              <w:instrText xml:space="preserve"> MERGEFIELD  MTR  \* MERGEFORMAT </w:instrText>
            </w:r>
            <w:r w:rsidRPr="00D51258">
              <w:rPr>
                <w:rFonts w:ascii="Helvetica" w:hAnsi="Helvetica" w:cs="Helvetica"/>
                <w:sz w:val="18"/>
                <w:szCs w:val="18"/>
              </w:rPr>
              <w:fldChar w:fldCharType="separate"/>
            </w:r>
            <w:r w:rsidRPr="00D51258">
              <w:rPr>
                <w:rFonts w:ascii="Helvetica" w:hAnsi="Helvetica" w:cs="Helvetica"/>
                <w:noProof/>
                <w:sz w:val="18"/>
                <w:szCs w:val="18"/>
              </w:rPr>
              <w:t>«MTR»</w:t>
            </w:r>
            <w:r w:rsidRPr="00D51258">
              <w:rPr>
                <w:rFonts w:ascii="Helvetica" w:hAnsi="Helvetica" w:cs="Helvetica"/>
                <w:sz w:val="18"/>
                <w:szCs w:val="18"/>
              </w:rPr>
              <w:fldChar w:fldCharType="end"/>
            </w:r>
          </w:p>
        </w:tc>
      </w:tr>
      <w:tr w:rsidR="00566C32" w:rsidRPr="00D51258" w14:paraId="3050744C" w14:textId="77777777" w:rsidTr="00566C32">
        <w:trPr>
          <w:trHeight w:val="360"/>
          <w:jc w:val="right"/>
        </w:trPr>
        <w:tc>
          <w:tcPr>
            <w:tcW w:w="4084" w:type="pct"/>
          </w:tcPr>
          <w:p w14:paraId="11D18C4D" w14:textId="77777777" w:rsidR="00566C32" w:rsidRPr="00C04DB9" w:rsidRDefault="00566C32" w:rsidP="007D52C7">
            <w:pPr>
              <w:tabs>
                <w:tab w:val="left" w:pos="3150"/>
              </w:tabs>
              <w:spacing w:line="360" w:lineRule="auto"/>
              <w:rPr>
                <w:rFonts w:ascii="Helvetica" w:hAnsi="Helvetica" w:cs="Helvetica"/>
                <w:sz w:val="20"/>
                <w:szCs w:val="20"/>
              </w:rPr>
            </w:pPr>
            <w:r w:rsidRPr="00EC0F36">
              <w:rPr>
                <w:rFonts w:ascii="Helvetica" w:hAnsi="Helvetica" w:cs="Helvetica"/>
                <w:b/>
                <w:bCs/>
              </w:rPr>
              <w:t>Tax Payable</w:t>
            </w:r>
          </w:p>
        </w:tc>
        <w:tc>
          <w:tcPr>
            <w:tcW w:w="916" w:type="pct"/>
          </w:tcPr>
          <w:p w14:paraId="2F000F1C" w14:textId="77777777" w:rsidR="00566C32" w:rsidRPr="00D51258" w:rsidRDefault="00566C32" w:rsidP="007D52C7">
            <w:pPr>
              <w:spacing w:line="360" w:lineRule="auto"/>
              <w:jc w:val="both"/>
              <w:rPr>
                <w:rFonts w:ascii="Helvetica" w:hAnsi="Helvetica" w:cs="Helvetica"/>
                <w:b/>
                <w:bCs/>
                <w:sz w:val="18"/>
                <w:szCs w:val="18"/>
              </w:rPr>
            </w:pPr>
            <w:r w:rsidRPr="00D51258">
              <w:rPr>
                <w:rFonts w:ascii="Helvetica" w:hAnsi="Helvetica" w:cs="Helvetica"/>
                <w:b/>
                <w:bCs/>
                <w:sz w:val="18"/>
                <w:szCs w:val="18"/>
              </w:rPr>
              <w:fldChar w:fldCharType="begin"/>
            </w:r>
            <w:r w:rsidRPr="00D51258">
              <w:rPr>
                <w:rFonts w:ascii="Helvetica" w:hAnsi="Helvetica" w:cs="Helvetica"/>
                <w:b/>
                <w:bCs/>
                <w:sz w:val="18"/>
                <w:szCs w:val="18"/>
              </w:rPr>
              <w:instrText xml:space="preserve"> MERGEFIELD  TAX  \* MERGEFORMAT </w:instrText>
            </w:r>
            <w:r w:rsidRPr="00D51258">
              <w:rPr>
                <w:rFonts w:ascii="Helvetica" w:hAnsi="Helvetica" w:cs="Helvetica"/>
                <w:b/>
                <w:bCs/>
                <w:sz w:val="18"/>
                <w:szCs w:val="18"/>
              </w:rPr>
              <w:fldChar w:fldCharType="separate"/>
            </w:r>
            <w:r w:rsidRPr="00D51258">
              <w:rPr>
                <w:rFonts w:ascii="Helvetica" w:hAnsi="Helvetica" w:cs="Helvetica"/>
                <w:b/>
                <w:bCs/>
                <w:noProof/>
                <w:sz w:val="18"/>
                <w:szCs w:val="18"/>
              </w:rPr>
              <w:t>«TAX»</w:t>
            </w:r>
            <w:r w:rsidRPr="00D51258">
              <w:rPr>
                <w:rFonts w:ascii="Helvetica" w:hAnsi="Helvetica" w:cs="Helvetica"/>
                <w:b/>
                <w:bCs/>
                <w:sz w:val="18"/>
                <w:szCs w:val="18"/>
              </w:rPr>
              <w:fldChar w:fldCharType="end"/>
            </w:r>
          </w:p>
        </w:tc>
      </w:tr>
      <w:tr w:rsidR="00566C32" w:rsidRPr="00D51258" w14:paraId="26D241AA" w14:textId="77777777" w:rsidTr="00566C32">
        <w:trPr>
          <w:trHeight w:val="252"/>
          <w:jc w:val="right"/>
        </w:trPr>
        <w:tc>
          <w:tcPr>
            <w:tcW w:w="4084" w:type="pct"/>
          </w:tcPr>
          <w:p w14:paraId="198A5A42" w14:textId="77777777" w:rsidR="00566C32" w:rsidRPr="00EC0F36" w:rsidRDefault="00566C32" w:rsidP="007D52C7">
            <w:pPr>
              <w:tabs>
                <w:tab w:val="left" w:pos="3150"/>
              </w:tabs>
              <w:spacing w:line="360" w:lineRule="auto"/>
              <w:jc w:val="both"/>
              <w:rPr>
                <w:rFonts w:ascii="Helvetica" w:hAnsi="Helvetica" w:cs="Helvetica"/>
                <w:b/>
                <w:bCs/>
              </w:rPr>
            </w:pPr>
          </w:p>
        </w:tc>
        <w:tc>
          <w:tcPr>
            <w:tcW w:w="916" w:type="pct"/>
          </w:tcPr>
          <w:p w14:paraId="6BB556DD" w14:textId="77777777" w:rsidR="00566C32" w:rsidRPr="00D51258" w:rsidRDefault="00566C32" w:rsidP="007D52C7">
            <w:pPr>
              <w:spacing w:line="360" w:lineRule="auto"/>
              <w:jc w:val="both"/>
              <w:rPr>
                <w:rFonts w:ascii="Helvetica" w:hAnsi="Helvetica" w:cs="Helvetica"/>
                <w:b/>
                <w:bCs/>
                <w:sz w:val="18"/>
                <w:szCs w:val="18"/>
              </w:rPr>
            </w:pPr>
          </w:p>
        </w:tc>
      </w:tr>
    </w:tbl>
    <w:p w14:paraId="71A49DF1" w14:textId="5380B83E" w:rsidR="00125840" w:rsidRDefault="00566C32" w:rsidP="00B10FA6">
      <w:pPr>
        <w:spacing w:after="0" w:line="360" w:lineRule="auto"/>
        <w:rPr>
          <w:rFonts w:ascii="Helvetica" w:eastAsia="Times New Roman" w:hAnsi="Helvetica" w:cs="Helvetica"/>
          <w:sz w:val="24"/>
          <w:szCs w:val="24"/>
        </w:rPr>
      </w:pPr>
      <w:r>
        <w:rPr>
          <w:rFonts w:ascii="Helvetica" w:eastAsia="Times New Roman" w:hAnsi="Helvetica" w:cs="Helvetica"/>
          <w:sz w:val="24"/>
          <w:szCs w:val="24"/>
        </w:rPr>
        <w:fldChar w:fldCharType="begin"/>
      </w:r>
      <w:r>
        <w:rPr>
          <w:rFonts w:ascii="Helvetica" w:eastAsia="Times New Roman" w:hAnsi="Helvetica" w:cs="Helvetica"/>
          <w:sz w:val="24"/>
          <w:szCs w:val="24"/>
        </w:rPr>
        <w:instrText xml:space="preserve"> MERGEFIELD  NOTE  \* MERGEFORMAT </w:instrText>
      </w:r>
      <w:r>
        <w:rPr>
          <w:rFonts w:ascii="Helvetica" w:eastAsia="Times New Roman" w:hAnsi="Helvetica" w:cs="Helvetica"/>
          <w:sz w:val="24"/>
          <w:szCs w:val="24"/>
        </w:rPr>
        <w:fldChar w:fldCharType="separate"/>
      </w:r>
      <w:r>
        <w:rPr>
          <w:rFonts w:ascii="Helvetica" w:eastAsia="Times New Roman" w:hAnsi="Helvetica" w:cs="Helvetica"/>
          <w:noProof/>
          <w:sz w:val="24"/>
          <w:szCs w:val="24"/>
        </w:rPr>
        <w:t>«NOTE»</w:t>
      </w:r>
      <w:r>
        <w:rPr>
          <w:rFonts w:ascii="Helvetica" w:eastAsia="Times New Roman" w:hAnsi="Helvetica" w:cs="Helvetica"/>
          <w:sz w:val="24"/>
          <w:szCs w:val="24"/>
        </w:rPr>
        <w:fldChar w:fldCharType="end"/>
      </w:r>
    </w:p>
    <w:p w14:paraId="5A900FED" w14:textId="77777777" w:rsidR="001C5A4F" w:rsidRDefault="001C5A4F" w:rsidP="00E562D4">
      <w:pPr>
        <w:spacing w:after="0" w:line="360" w:lineRule="auto"/>
        <w:rPr>
          <w:rFonts w:ascii="Helvetica" w:eastAsia="Times New Roman" w:hAnsi="Helvetica" w:cs="Helvetica"/>
          <w:sz w:val="24"/>
          <w:szCs w:val="24"/>
        </w:rPr>
      </w:pPr>
    </w:p>
    <w:p w14:paraId="56FCCA7F" w14:textId="2AD0C2CD" w:rsidR="00B06AB6" w:rsidRDefault="00E562D4" w:rsidP="00D81CF2">
      <w:pPr>
        <w:spacing w:line="360" w:lineRule="auto"/>
        <w:rPr>
          <w:rFonts w:ascii="Helvetica" w:eastAsia="Times New Roman" w:hAnsi="Helvetica" w:cs="Helvetica"/>
          <w:color w:val="000000"/>
          <w:sz w:val="24"/>
          <w:szCs w:val="24"/>
        </w:rPr>
      </w:pPr>
      <w:r w:rsidRPr="002C07D3">
        <w:rPr>
          <w:rFonts w:ascii="Helvetica" w:eastAsia="Times New Roman" w:hAnsi="Helvetica" w:cs="Helvetica"/>
          <w:b/>
          <w:bCs/>
          <w:color w:val="000000"/>
          <w:sz w:val="24"/>
          <w:szCs w:val="24"/>
        </w:rPr>
        <w:t>Long term Gain/Loss Tax</w:t>
      </w:r>
      <w:r w:rsidR="00154FAF">
        <w:rPr>
          <w:rFonts w:ascii="Helvetica" w:eastAsia="Times New Roman" w:hAnsi="Helvetica" w:cs="Helvetica"/>
          <w:b/>
          <w:bCs/>
          <w:color w:val="000000"/>
          <w:sz w:val="24"/>
          <w:szCs w:val="24"/>
        </w:rPr>
        <w:t xml:space="preserve">: </w:t>
      </w:r>
      <w:r w:rsidRPr="002C07D3">
        <w:rPr>
          <w:rFonts w:ascii="Helvetica" w:eastAsia="Times New Roman" w:hAnsi="Helvetica" w:cs="Helvetica"/>
          <w:color w:val="000000"/>
          <w:sz w:val="24"/>
          <w:szCs w:val="24"/>
        </w:rPr>
        <w:t xml:space="preserve">In calculating the net profit of the real estate investment, </w:t>
      </w:r>
      <w:r w:rsidR="00154FAF">
        <w:rPr>
          <w:rFonts w:ascii="Helvetica" w:eastAsia="Times New Roman" w:hAnsi="Helvetica" w:cs="Helvetica"/>
          <w:color w:val="000000"/>
          <w:sz w:val="24"/>
          <w:szCs w:val="24"/>
        </w:rPr>
        <w:t>Zillmeter assumes</w:t>
      </w:r>
      <w:r w:rsidRPr="002C07D3">
        <w:rPr>
          <w:rFonts w:ascii="Helvetica" w:eastAsia="Times New Roman" w:hAnsi="Helvetica" w:cs="Helvetica"/>
          <w:color w:val="000000"/>
          <w:sz w:val="24"/>
          <w:szCs w:val="24"/>
        </w:rPr>
        <w:t xml:space="preserve"> the property </w:t>
      </w:r>
      <w:r>
        <w:rPr>
          <w:rFonts w:ascii="Helvetica" w:eastAsia="Times New Roman" w:hAnsi="Helvetica" w:cs="Helvetica"/>
          <w:color w:val="000000"/>
          <w:sz w:val="24"/>
          <w:szCs w:val="24"/>
        </w:rPr>
        <w:t xml:space="preserve">is </w:t>
      </w:r>
      <w:r w:rsidRPr="002C07D3">
        <w:rPr>
          <w:rFonts w:ascii="Helvetica" w:eastAsia="Times New Roman" w:hAnsi="Helvetica" w:cs="Helvetica"/>
          <w:color w:val="000000"/>
          <w:sz w:val="24"/>
          <w:szCs w:val="24"/>
        </w:rPr>
        <w:t xml:space="preserve">to be sold at the end of “Holding Period” which can be at gain or loss, depending on the net selling price and adjusted basis of the property. If the holding period is above one year, this recognized gain is taxed </w:t>
      </w:r>
      <w:r>
        <w:rPr>
          <w:rFonts w:ascii="Helvetica" w:eastAsia="Times New Roman" w:hAnsi="Helvetica" w:cs="Helvetica"/>
          <w:color w:val="000000"/>
          <w:sz w:val="24"/>
          <w:szCs w:val="24"/>
        </w:rPr>
        <w:t xml:space="preserve">at </w:t>
      </w:r>
      <w:r w:rsidRPr="002C07D3">
        <w:rPr>
          <w:rFonts w:ascii="Helvetica" w:eastAsia="Times New Roman" w:hAnsi="Helvetica" w:cs="Helvetica"/>
          <w:color w:val="000000"/>
          <w:sz w:val="24"/>
          <w:szCs w:val="24"/>
        </w:rPr>
        <w:t>the Capital G</w:t>
      </w:r>
      <w:r>
        <w:rPr>
          <w:rFonts w:ascii="Helvetica" w:eastAsia="Times New Roman" w:hAnsi="Helvetica" w:cs="Helvetica"/>
          <w:color w:val="000000"/>
          <w:sz w:val="24"/>
          <w:szCs w:val="24"/>
        </w:rPr>
        <w:t>ai</w:t>
      </w:r>
      <w:r w:rsidRPr="002C07D3">
        <w:rPr>
          <w:rFonts w:ascii="Helvetica" w:eastAsia="Times New Roman" w:hAnsi="Helvetica" w:cs="Helvetica"/>
          <w:color w:val="000000"/>
          <w:sz w:val="24"/>
          <w:szCs w:val="24"/>
        </w:rPr>
        <w:t xml:space="preserve">n Tax Rate. Long term capital gain tax rate depends on </w:t>
      </w:r>
      <w:r w:rsidRPr="00566C32">
        <w:rPr>
          <w:rFonts w:ascii="Helvetica" w:eastAsia="Times New Roman" w:hAnsi="Helvetica" w:cs="Helvetica"/>
          <w:color w:val="000000"/>
          <w:sz w:val="24"/>
          <w:szCs w:val="24"/>
        </w:rPr>
        <w:t>the household income and marital status of the owner. Based on the investor profile,</w:t>
      </w:r>
      <w:r w:rsidR="00566C32">
        <w:rPr>
          <w:rFonts w:ascii="Helvetica" w:eastAsia="Times New Roman" w:hAnsi="Helvetica" w:cs="Helvetica"/>
          <w:color w:val="000000"/>
          <w:sz w:val="24"/>
          <w:szCs w:val="24"/>
        </w:rPr>
        <w:t xml:space="preserve"> capital gain tax rate is assumed to be </w:t>
      </w:r>
      <w:r w:rsidR="00566C32">
        <w:rPr>
          <w:rFonts w:ascii="Helvetica" w:eastAsia="Times New Roman" w:hAnsi="Helvetica" w:cs="Helvetica"/>
          <w:color w:val="000000"/>
          <w:sz w:val="24"/>
          <w:szCs w:val="24"/>
        </w:rPr>
        <w:fldChar w:fldCharType="begin"/>
      </w:r>
      <w:r w:rsidR="00566C32">
        <w:rPr>
          <w:rFonts w:ascii="Helvetica" w:eastAsia="Times New Roman" w:hAnsi="Helvetica" w:cs="Helvetica"/>
          <w:color w:val="000000"/>
          <w:sz w:val="24"/>
          <w:szCs w:val="24"/>
        </w:rPr>
        <w:instrText xml:space="preserve"> MERGEFIELD  CAPR  \* MERGEFORMAT </w:instrText>
      </w:r>
      <w:r w:rsidR="00566C32">
        <w:rPr>
          <w:rFonts w:ascii="Helvetica" w:eastAsia="Times New Roman" w:hAnsi="Helvetica" w:cs="Helvetica"/>
          <w:color w:val="000000"/>
          <w:sz w:val="24"/>
          <w:szCs w:val="24"/>
        </w:rPr>
        <w:fldChar w:fldCharType="separate"/>
      </w:r>
      <w:r w:rsidR="00566C32">
        <w:rPr>
          <w:rFonts w:ascii="Helvetica" w:eastAsia="Times New Roman" w:hAnsi="Helvetica" w:cs="Helvetica"/>
          <w:noProof/>
          <w:color w:val="000000"/>
          <w:sz w:val="24"/>
          <w:szCs w:val="24"/>
        </w:rPr>
        <w:t>«CAPR»</w:t>
      </w:r>
      <w:r w:rsidR="00566C32">
        <w:rPr>
          <w:rFonts w:ascii="Helvetica" w:eastAsia="Times New Roman" w:hAnsi="Helvetica" w:cs="Helvetica"/>
          <w:color w:val="000000"/>
          <w:sz w:val="24"/>
          <w:szCs w:val="24"/>
        </w:rPr>
        <w:fldChar w:fldCharType="end"/>
      </w:r>
    </w:p>
    <w:p w14:paraId="4AE7FB7F" w14:textId="5A966711" w:rsidR="00B06AB6" w:rsidRDefault="00B06AB6" w:rsidP="00154FAF">
      <w:pPr>
        <w:spacing w:line="360" w:lineRule="auto"/>
        <w:rPr>
          <w:rFonts w:ascii="Helvetica" w:eastAsia="Times New Roman" w:hAnsi="Helvetica" w:cs="Helvetica"/>
          <w:color w:val="000000"/>
          <w:sz w:val="24"/>
          <w:szCs w:val="24"/>
        </w:rPr>
        <w:sectPr w:rsidR="00B06AB6" w:rsidSect="000547DF">
          <w:footerReference w:type="default" r:id="rId15"/>
          <w:type w:val="continuous"/>
          <w:pgSz w:w="12240" w:h="15840" w:code="1"/>
          <w:pgMar w:top="1440" w:right="1440" w:bottom="1440" w:left="1440" w:header="720" w:footer="720" w:gutter="0"/>
          <w:pgNumType w:start="0"/>
          <w:cols w:space="720"/>
          <w:docGrid w:linePitch="360"/>
        </w:sectPr>
      </w:pPr>
    </w:p>
    <w:p w14:paraId="1593A908" w14:textId="371B90D2" w:rsidR="00E562D4" w:rsidRPr="002C07D3" w:rsidRDefault="00E562D4" w:rsidP="00154FAF">
      <w:pPr>
        <w:spacing w:line="360" w:lineRule="auto"/>
        <w:jc w:val="both"/>
        <w:rPr>
          <w:rFonts w:ascii="Helvetica" w:eastAsia="Times New Roman" w:hAnsi="Helvetica" w:cs="Helvetica"/>
          <w:sz w:val="24"/>
          <w:szCs w:val="24"/>
        </w:rPr>
      </w:pPr>
      <w:r w:rsidRPr="002C07D3">
        <w:rPr>
          <w:rFonts w:ascii="Helvetica" w:eastAsia="Times New Roman" w:hAnsi="Helvetica" w:cs="Helvetica"/>
          <w:b/>
          <w:bCs/>
          <w:color w:val="000000"/>
          <w:sz w:val="24"/>
          <w:szCs w:val="24"/>
        </w:rPr>
        <w:lastRenderedPageBreak/>
        <w:t>Depreciation Recapture: </w:t>
      </w:r>
      <w:r w:rsidRPr="002C07D3">
        <w:rPr>
          <w:rFonts w:ascii="Helvetica" w:eastAsia="Times New Roman" w:hAnsi="Helvetica" w:cs="Helvetica"/>
          <w:color w:val="000000"/>
          <w:sz w:val="24"/>
          <w:szCs w:val="24"/>
        </w:rPr>
        <w:t xml:space="preserve">Depreciation recapture is the portion of the realized gain that is attributed to the depreciation deductions over the length of the ownership. Based on the current federal tax law the tax rate of depreciation recapture is </w:t>
      </w:r>
      <w:r w:rsidR="00FC6782">
        <w:rPr>
          <w:rFonts w:ascii="Helvetica" w:eastAsia="Times New Roman" w:hAnsi="Helvetica" w:cs="Helvetica"/>
          <w:color w:val="000000"/>
          <w:sz w:val="24"/>
          <w:szCs w:val="24"/>
        </w:rPr>
        <w:fldChar w:fldCharType="begin"/>
      </w:r>
      <w:r w:rsidR="00FC6782">
        <w:rPr>
          <w:rFonts w:ascii="Helvetica" w:eastAsia="Times New Roman" w:hAnsi="Helvetica" w:cs="Helvetica"/>
          <w:color w:val="000000"/>
          <w:sz w:val="24"/>
          <w:szCs w:val="24"/>
        </w:rPr>
        <w:instrText xml:space="preserve"> MERGEFIELD  DPCR  \* MERGEFORMAT </w:instrText>
      </w:r>
      <w:r w:rsidR="00FC6782">
        <w:rPr>
          <w:rFonts w:ascii="Helvetica" w:eastAsia="Times New Roman" w:hAnsi="Helvetica" w:cs="Helvetica"/>
          <w:color w:val="000000"/>
          <w:sz w:val="24"/>
          <w:szCs w:val="24"/>
        </w:rPr>
        <w:fldChar w:fldCharType="separate"/>
      </w:r>
      <w:r w:rsidR="00FC6782">
        <w:rPr>
          <w:rFonts w:ascii="Helvetica" w:eastAsia="Times New Roman" w:hAnsi="Helvetica" w:cs="Helvetica"/>
          <w:noProof/>
          <w:color w:val="000000"/>
          <w:sz w:val="24"/>
          <w:szCs w:val="24"/>
        </w:rPr>
        <w:t>«DPCR»</w:t>
      </w:r>
      <w:r w:rsidR="00FC6782">
        <w:rPr>
          <w:rFonts w:ascii="Helvetica" w:eastAsia="Times New Roman" w:hAnsi="Helvetica" w:cs="Helvetica"/>
          <w:color w:val="000000"/>
          <w:sz w:val="24"/>
          <w:szCs w:val="24"/>
        </w:rPr>
        <w:fldChar w:fldCharType="end"/>
      </w:r>
      <w:r w:rsidR="00FC6782">
        <w:rPr>
          <w:rFonts w:ascii="Helvetica" w:eastAsia="Times New Roman" w:hAnsi="Helvetica" w:cs="Helvetica"/>
          <w:color w:val="000000"/>
          <w:sz w:val="24"/>
          <w:szCs w:val="24"/>
        </w:rPr>
        <w:t>.</w:t>
      </w:r>
    </w:p>
    <w:p w14:paraId="5CC85379" w14:textId="346626DB" w:rsidR="00E562D4" w:rsidRDefault="00E562D4" w:rsidP="00E562D4">
      <w:pPr>
        <w:spacing w:line="360" w:lineRule="auto"/>
        <w:jc w:val="both"/>
        <w:rPr>
          <w:rFonts w:ascii="Helvetica" w:eastAsia="Times New Roman" w:hAnsi="Helvetica" w:cs="Helvetica"/>
          <w:color w:val="000000"/>
          <w:sz w:val="24"/>
          <w:szCs w:val="24"/>
        </w:rPr>
      </w:pPr>
      <w:r w:rsidRPr="006A7E2C">
        <w:rPr>
          <w:rFonts w:ascii="Helvetica" w:eastAsia="Times New Roman" w:hAnsi="Helvetica" w:cs="Helvetica"/>
          <w:i/>
          <w:iCs/>
          <w:color w:val="000000"/>
          <w:sz w:val="24"/>
          <w:szCs w:val="24"/>
        </w:rPr>
        <w:t>Example</w:t>
      </w:r>
      <w:r w:rsidRPr="002C07D3">
        <w:rPr>
          <w:rFonts w:ascii="Helvetica" w:eastAsia="Times New Roman" w:hAnsi="Helvetica" w:cs="Helvetica"/>
          <w:color w:val="000000"/>
          <w:sz w:val="24"/>
          <w:szCs w:val="24"/>
        </w:rPr>
        <w:t>:</w:t>
      </w:r>
      <w:r w:rsidR="00154FAF">
        <w:rPr>
          <w:rFonts w:ascii="Helvetica" w:eastAsia="Times New Roman" w:hAnsi="Helvetica" w:cs="Helvetica"/>
          <w:color w:val="000000"/>
          <w:sz w:val="24"/>
          <w:szCs w:val="24"/>
        </w:rPr>
        <w:t xml:space="preserve"> </w:t>
      </w:r>
      <w:r w:rsidR="00566C32">
        <w:rPr>
          <w:rFonts w:ascii="Helvetica" w:eastAsia="Times New Roman" w:hAnsi="Helvetica" w:cs="Helvetica"/>
          <w:color w:val="000000"/>
          <w:sz w:val="24"/>
          <w:szCs w:val="24"/>
        </w:rPr>
        <w:t>This</w:t>
      </w:r>
      <w:r w:rsidRPr="002C07D3">
        <w:rPr>
          <w:rFonts w:ascii="Helvetica" w:eastAsia="Times New Roman" w:hAnsi="Helvetica" w:cs="Helvetica"/>
          <w:color w:val="000000"/>
          <w:sz w:val="24"/>
          <w:szCs w:val="24"/>
        </w:rPr>
        <w:t xml:space="preserve"> property is purchased for </w:t>
      </w:r>
      <w:r w:rsidR="00566C32">
        <w:rPr>
          <w:rFonts w:ascii="Helvetica" w:eastAsia="Times New Roman" w:hAnsi="Helvetica" w:cs="Helvetica"/>
          <w:color w:val="000000"/>
          <w:sz w:val="24"/>
          <w:szCs w:val="24"/>
        </w:rPr>
        <w:fldChar w:fldCharType="begin"/>
      </w:r>
      <w:r w:rsidR="00566C32">
        <w:rPr>
          <w:rFonts w:ascii="Helvetica" w:eastAsia="Times New Roman" w:hAnsi="Helvetica" w:cs="Helvetica"/>
          <w:color w:val="000000"/>
          <w:sz w:val="24"/>
          <w:szCs w:val="24"/>
        </w:rPr>
        <w:instrText xml:space="preserve"> MERGEFIELD  PP  \* MERGEFORMAT </w:instrText>
      </w:r>
      <w:r w:rsidR="00566C32">
        <w:rPr>
          <w:rFonts w:ascii="Helvetica" w:eastAsia="Times New Roman" w:hAnsi="Helvetica" w:cs="Helvetica"/>
          <w:color w:val="000000"/>
          <w:sz w:val="24"/>
          <w:szCs w:val="24"/>
        </w:rPr>
        <w:fldChar w:fldCharType="separate"/>
      </w:r>
      <w:r w:rsidR="00566C32">
        <w:rPr>
          <w:rFonts w:ascii="Helvetica" w:eastAsia="Times New Roman" w:hAnsi="Helvetica" w:cs="Helvetica"/>
          <w:noProof/>
          <w:color w:val="000000"/>
          <w:sz w:val="24"/>
          <w:szCs w:val="24"/>
        </w:rPr>
        <w:t>«PP»</w:t>
      </w:r>
      <w:r w:rsidR="00566C32">
        <w:rPr>
          <w:rFonts w:ascii="Helvetica" w:eastAsia="Times New Roman" w:hAnsi="Helvetica" w:cs="Helvetica"/>
          <w:color w:val="000000"/>
          <w:sz w:val="24"/>
          <w:szCs w:val="24"/>
        </w:rPr>
        <w:fldChar w:fldCharType="end"/>
      </w:r>
      <w:r w:rsidR="00566C32">
        <w:rPr>
          <w:rFonts w:ascii="Helvetica" w:eastAsia="Times New Roman" w:hAnsi="Helvetica" w:cs="Helvetica"/>
          <w:color w:val="000000"/>
          <w:sz w:val="24"/>
          <w:szCs w:val="24"/>
        </w:rPr>
        <w:t xml:space="preserve"> </w:t>
      </w:r>
      <w:r w:rsidRPr="002C07D3">
        <w:rPr>
          <w:rFonts w:ascii="Helvetica" w:eastAsia="Times New Roman" w:hAnsi="Helvetica" w:cs="Helvetica"/>
          <w:color w:val="000000"/>
          <w:sz w:val="24"/>
          <w:szCs w:val="24"/>
        </w:rPr>
        <w:t xml:space="preserve">and after being rented for </w:t>
      </w:r>
      <w:r w:rsidR="00566C32">
        <w:rPr>
          <w:rFonts w:ascii="Helvetica" w:eastAsia="Times New Roman" w:hAnsi="Helvetica" w:cs="Helvetica"/>
          <w:color w:val="000000"/>
          <w:sz w:val="24"/>
          <w:szCs w:val="24"/>
        </w:rPr>
        <w:fldChar w:fldCharType="begin"/>
      </w:r>
      <w:r w:rsidR="00566C32">
        <w:rPr>
          <w:rFonts w:ascii="Helvetica" w:eastAsia="Times New Roman" w:hAnsi="Helvetica" w:cs="Helvetica"/>
          <w:color w:val="000000"/>
          <w:sz w:val="24"/>
          <w:szCs w:val="24"/>
        </w:rPr>
        <w:instrText xml:space="preserve"> MERGEFIELD  HP  \* MERGEFORMAT </w:instrText>
      </w:r>
      <w:r w:rsidR="00566C32">
        <w:rPr>
          <w:rFonts w:ascii="Helvetica" w:eastAsia="Times New Roman" w:hAnsi="Helvetica" w:cs="Helvetica"/>
          <w:color w:val="000000"/>
          <w:sz w:val="24"/>
          <w:szCs w:val="24"/>
        </w:rPr>
        <w:fldChar w:fldCharType="separate"/>
      </w:r>
      <w:r w:rsidR="00566C32">
        <w:rPr>
          <w:rFonts w:ascii="Helvetica" w:eastAsia="Times New Roman" w:hAnsi="Helvetica" w:cs="Helvetica"/>
          <w:noProof/>
          <w:color w:val="000000"/>
          <w:sz w:val="24"/>
          <w:szCs w:val="24"/>
        </w:rPr>
        <w:t>«HP»</w:t>
      </w:r>
      <w:r w:rsidR="00566C32">
        <w:rPr>
          <w:rFonts w:ascii="Helvetica" w:eastAsia="Times New Roman" w:hAnsi="Helvetica" w:cs="Helvetica"/>
          <w:color w:val="000000"/>
          <w:sz w:val="24"/>
          <w:szCs w:val="24"/>
        </w:rPr>
        <w:fldChar w:fldCharType="end"/>
      </w:r>
      <w:r w:rsidRPr="002C07D3">
        <w:rPr>
          <w:rFonts w:ascii="Helvetica" w:eastAsia="Times New Roman" w:hAnsi="Helvetica" w:cs="Helvetica"/>
          <w:color w:val="000000"/>
          <w:sz w:val="24"/>
          <w:szCs w:val="24"/>
        </w:rPr>
        <w:t xml:space="preserve"> years</w:t>
      </w:r>
      <w:r>
        <w:rPr>
          <w:rFonts w:ascii="Helvetica" w:eastAsia="Times New Roman" w:hAnsi="Helvetica" w:cs="Helvetica"/>
          <w:color w:val="000000"/>
          <w:sz w:val="24"/>
          <w:szCs w:val="24"/>
        </w:rPr>
        <w:t xml:space="preserve"> the</w:t>
      </w:r>
      <w:r w:rsidRPr="002C07D3">
        <w:rPr>
          <w:rFonts w:ascii="Helvetica" w:eastAsia="Times New Roman" w:hAnsi="Helvetica" w:cs="Helvetica"/>
          <w:color w:val="000000"/>
          <w:sz w:val="24"/>
          <w:szCs w:val="24"/>
        </w:rPr>
        <w:t xml:space="preserve"> </w:t>
      </w:r>
      <w:r w:rsidR="001C5A4F">
        <w:rPr>
          <w:rFonts w:ascii="Helvetica" w:eastAsia="Times New Roman" w:hAnsi="Helvetica" w:cs="Helvetica"/>
          <w:color w:val="000000"/>
          <w:sz w:val="24"/>
          <w:szCs w:val="24"/>
        </w:rPr>
        <w:t>is estimated to be</w:t>
      </w:r>
      <w:r w:rsidR="006A7E2C">
        <w:rPr>
          <w:rFonts w:ascii="Helvetica" w:eastAsia="Times New Roman" w:hAnsi="Helvetica" w:cs="Helvetica"/>
          <w:color w:val="000000"/>
          <w:sz w:val="24"/>
          <w:szCs w:val="24"/>
        </w:rPr>
        <w:t>ing</w:t>
      </w:r>
      <w:r w:rsidR="001C5A4F">
        <w:rPr>
          <w:rFonts w:ascii="Helvetica" w:eastAsia="Times New Roman" w:hAnsi="Helvetica" w:cs="Helvetica"/>
          <w:color w:val="000000"/>
          <w:sz w:val="24"/>
          <w:szCs w:val="24"/>
        </w:rPr>
        <w:t xml:space="preserve"> sold at </w:t>
      </w:r>
      <w:r w:rsidR="001C5A4F">
        <w:rPr>
          <w:rFonts w:ascii="Helvetica" w:eastAsia="Times New Roman" w:hAnsi="Helvetica" w:cs="Helvetica"/>
          <w:color w:val="000000"/>
          <w:sz w:val="24"/>
          <w:szCs w:val="24"/>
        </w:rPr>
        <w:fldChar w:fldCharType="begin"/>
      </w:r>
      <w:r w:rsidR="001C5A4F">
        <w:rPr>
          <w:rFonts w:ascii="Helvetica" w:eastAsia="Times New Roman" w:hAnsi="Helvetica" w:cs="Helvetica"/>
          <w:color w:val="000000"/>
          <w:sz w:val="24"/>
          <w:szCs w:val="24"/>
        </w:rPr>
        <w:instrText xml:space="preserve"> MERGEFIELD  SLD  \* MERGEFORMAT </w:instrText>
      </w:r>
      <w:r w:rsidR="001C5A4F">
        <w:rPr>
          <w:rFonts w:ascii="Helvetica" w:eastAsia="Times New Roman" w:hAnsi="Helvetica" w:cs="Helvetica"/>
          <w:color w:val="000000"/>
          <w:sz w:val="24"/>
          <w:szCs w:val="24"/>
        </w:rPr>
        <w:fldChar w:fldCharType="separate"/>
      </w:r>
      <w:r w:rsidR="001C5A4F">
        <w:rPr>
          <w:rFonts w:ascii="Helvetica" w:eastAsia="Times New Roman" w:hAnsi="Helvetica" w:cs="Helvetica"/>
          <w:noProof/>
          <w:color w:val="000000"/>
          <w:sz w:val="24"/>
          <w:szCs w:val="24"/>
        </w:rPr>
        <w:t>«SLD»</w:t>
      </w:r>
      <w:r w:rsidR="001C5A4F">
        <w:rPr>
          <w:rFonts w:ascii="Helvetica" w:eastAsia="Times New Roman" w:hAnsi="Helvetica" w:cs="Helvetica"/>
          <w:color w:val="000000"/>
          <w:sz w:val="24"/>
          <w:szCs w:val="24"/>
        </w:rPr>
        <w:fldChar w:fldCharType="end"/>
      </w:r>
      <w:r w:rsidRPr="002C07D3">
        <w:rPr>
          <w:rFonts w:ascii="Helvetica" w:eastAsia="Times New Roman" w:hAnsi="Helvetica" w:cs="Helvetica"/>
          <w:color w:val="000000"/>
          <w:sz w:val="24"/>
          <w:szCs w:val="24"/>
        </w:rPr>
        <w:t>.</w:t>
      </w:r>
      <w:r w:rsidR="001C5A4F">
        <w:rPr>
          <w:rFonts w:ascii="Helvetica" w:eastAsia="Times New Roman" w:hAnsi="Helvetica" w:cs="Helvetica"/>
          <w:color w:val="000000"/>
          <w:sz w:val="24"/>
          <w:szCs w:val="24"/>
        </w:rPr>
        <w:t xml:space="preserve"> S</w:t>
      </w:r>
      <w:r w:rsidRPr="002C07D3">
        <w:rPr>
          <w:rFonts w:ascii="Helvetica" w:eastAsia="Times New Roman" w:hAnsi="Helvetica" w:cs="Helvetica"/>
          <w:color w:val="000000"/>
          <w:sz w:val="24"/>
          <w:szCs w:val="24"/>
        </w:rPr>
        <w:t>elling expenses are</w:t>
      </w:r>
      <w:r w:rsidR="001C5A4F">
        <w:rPr>
          <w:rFonts w:ascii="Helvetica" w:eastAsia="Times New Roman" w:hAnsi="Helvetica" w:cs="Helvetica"/>
          <w:color w:val="000000"/>
          <w:sz w:val="24"/>
          <w:szCs w:val="24"/>
        </w:rPr>
        <w:t xml:space="preserve"> estimated to be </w:t>
      </w:r>
      <w:r w:rsidR="001C5A4F">
        <w:rPr>
          <w:rFonts w:ascii="Helvetica" w:eastAsia="Times New Roman" w:hAnsi="Helvetica" w:cs="Helvetica"/>
          <w:color w:val="000000"/>
          <w:sz w:val="24"/>
          <w:szCs w:val="24"/>
        </w:rPr>
        <w:fldChar w:fldCharType="begin"/>
      </w:r>
      <w:r w:rsidR="001C5A4F">
        <w:rPr>
          <w:rFonts w:ascii="Helvetica" w:eastAsia="Times New Roman" w:hAnsi="Helvetica" w:cs="Helvetica"/>
          <w:color w:val="000000"/>
          <w:sz w:val="24"/>
          <w:szCs w:val="24"/>
        </w:rPr>
        <w:instrText xml:space="preserve"> MERGEFIELD  SLEX  \* MERGEFORMAT </w:instrText>
      </w:r>
      <w:r w:rsidR="001C5A4F">
        <w:rPr>
          <w:rFonts w:ascii="Helvetica" w:eastAsia="Times New Roman" w:hAnsi="Helvetica" w:cs="Helvetica"/>
          <w:color w:val="000000"/>
          <w:sz w:val="24"/>
          <w:szCs w:val="24"/>
        </w:rPr>
        <w:fldChar w:fldCharType="separate"/>
      </w:r>
      <w:r w:rsidR="001C5A4F">
        <w:rPr>
          <w:rFonts w:ascii="Helvetica" w:eastAsia="Times New Roman" w:hAnsi="Helvetica" w:cs="Helvetica"/>
          <w:noProof/>
          <w:color w:val="000000"/>
          <w:sz w:val="24"/>
          <w:szCs w:val="24"/>
        </w:rPr>
        <w:t>«SLEX»</w:t>
      </w:r>
      <w:r w:rsidR="001C5A4F">
        <w:rPr>
          <w:rFonts w:ascii="Helvetica" w:eastAsia="Times New Roman" w:hAnsi="Helvetica" w:cs="Helvetica"/>
          <w:color w:val="000000"/>
          <w:sz w:val="24"/>
          <w:szCs w:val="24"/>
        </w:rPr>
        <w:fldChar w:fldCharType="end"/>
      </w:r>
      <w:r w:rsidRPr="002C07D3">
        <w:rPr>
          <w:rFonts w:ascii="Helvetica" w:eastAsia="Times New Roman" w:hAnsi="Helvetica" w:cs="Helvetica"/>
          <w:color w:val="000000"/>
          <w:sz w:val="24"/>
          <w:szCs w:val="24"/>
        </w:rPr>
        <w:t xml:space="preserve"> and purchase expenses are</w:t>
      </w:r>
      <w:r w:rsidR="004C3EEA">
        <w:rPr>
          <w:rFonts w:ascii="Helvetica" w:eastAsia="Times New Roman" w:hAnsi="Helvetica" w:cs="Helvetica"/>
          <w:color w:val="000000"/>
          <w:sz w:val="24"/>
          <w:szCs w:val="24"/>
        </w:rPr>
        <w:t xml:space="preserve"> to be</w:t>
      </w:r>
      <w:r w:rsidRPr="002C07D3">
        <w:rPr>
          <w:rFonts w:ascii="Helvetica" w:eastAsia="Times New Roman" w:hAnsi="Helvetica" w:cs="Helvetica"/>
          <w:color w:val="000000"/>
          <w:sz w:val="24"/>
          <w:szCs w:val="24"/>
        </w:rPr>
        <w:t xml:space="preserve"> </w:t>
      </w:r>
      <w:r w:rsidR="001C5A4F">
        <w:rPr>
          <w:rFonts w:ascii="Helvetica" w:eastAsia="Times New Roman" w:hAnsi="Helvetica" w:cs="Helvetica"/>
          <w:color w:val="000000"/>
          <w:sz w:val="24"/>
          <w:szCs w:val="24"/>
        </w:rPr>
        <w:fldChar w:fldCharType="begin"/>
      </w:r>
      <w:r w:rsidR="001C5A4F">
        <w:rPr>
          <w:rFonts w:ascii="Helvetica" w:eastAsia="Times New Roman" w:hAnsi="Helvetica" w:cs="Helvetica"/>
          <w:color w:val="000000"/>
          <w:sz w:val="24"/>
          <w:szCs w:val="24"/>
        </w:rPr>
        <w:instrText xml:space="preserve"> MERGEFIELD  PUREX  \* MERGEFORMAT </w:instrText>
      </w:r>
      <w:r w:rsidR="001C5A4F">
        <w:rPr>
          <w:rFonts w:ascii="Helvetica" w:eastAsia="Times New Roman" w:hAnsi="Helvetica" w:cs="Helvetica"/>
          <w:color w:val="000000"/>
          <w:sz w:val="24"/>
          <w:szCs w:val="24"/>
        </w:rPr>
        <w:fldChar w:fldCharType="separate"/>
      </w:r>
      <w:r w:rsidR="001C5A4F">
        <w:rPr>
          <w:rFonts w:ascii="Helvetica" w:eastAsia="Times New Roman" w:hAnsi="Helvetica" w:cs="Helvetica"/>
          <w:noProof/>
          <w:color w:val="000000"/>
          <w:sz w:val="24"/>
          <w:szCs w:val="24"/>
        </w:rPr>
        <w:t>«PUREX»</w:t>
      </w:r>
      <w:r w:rsidR="001C5A4F">
        <w:rPr>
          <w:rFonts w:ascii="Helvetica" w:eastAsia="Times New Roman" w:hAnsi="Helvetica" w:cs="Helvetica"/>
          <w:color w:val="000000"/>
          <w:sz w:val="24"/>
          <w:szCs w:val="24"/>
        </w:rPr>
        <w:fldChar w:fldCharType="end"/>
      </w:r>
      <w:r w:rsidRPr="002C07D3">
        <w:rPr>
          <w:rFonts w:ascii="Helvetica" w:eastAsia="Times New Roman" w:hAnsi="Helvetica" w:cs="Helvetica"/>
          <w:color w:val="000000"/>
          <w:sz w:val="24"/>
          <w:szCs w:val="24"/>
        </w:rPr>
        <w:t xml:space="preserve">. </w:t>
      </w:r>
      <w:r>
        <w:rPr>
          <w:rFonts w:ascii="Helvetica" w:eastAsia="Times New Roman" w:hAnsi="Helvetica" w:cs="Helvetica"/>
          <w:color w:val="000000"/>
          <w:sz w:val="24"/>
          <w:szCs w:val="24"/>
        </w:rPr>
        <w:t>A</w:t>
      </w:r>
      <w:r w:rsidRPr="002C07D3">
        <w:rPr>
          <w:rFonts w:ascii="Helvetica" w:eastAsia="Times New Roman" w:hAnsi="Helvetica" w:cs="Helvetica"/>
          <w:color w:val="000000"/>
          <w:sz w:val="24"/>
          <w:szCs w:val="24"/>
        </w:rPr>
        <w:t xml:space="preserve">ccumulated depreciation over </w:t>
      </w:r>
      <w:r w:rsidR="001C5A4F" w:rsidRPr="002C07D3">
        <w:rPr>
          <w:rFonts w:ascii="Helvetica" w:eastAsia="Times New Roman" w:hAnsi="Helvetica" w:cs="Helvetica"/>
          <w:color w:val="000000"/>
          <w:sz w:val="24"/>
          <w:szCs w:val="24"/>
        </w:rPr>
        <w:t xml:space="preserve"> </w:t>
      </w:r>
      <w:r w:rsidR="001C5A4F">
        <w:rPr>
          <w:rFonts w:ascii="Helvetica" w:eastAsia="Times New Roman" w:hAnsi="Helvetica" w:cs="Helvetica"/>
          <w:color w:val="000000"/>
          <w:sz w:val="24"/>
          <w:szCs w:val="24"/>
        </w:rPr>
        <w:fldChar w:fldCharType="begin"/>
      </w:r>
      <w:r w:rsidR="001C5A4F">
        <w:rPr>
          <w:rFonts w:ascii="Helvetica" w:eastAsia="Times New Roman" w:hAnsi="Helvetica" w:cs="Helvetica"/>
          <w:color w:val="000000"/>
          <w:sz w:val="24"/>
          <w:szCs w:val="24"/>
        </w:rPr>
        <w:instrText xml:space="preserve"> MERGEFIELD  HP  \* MERGEFORMAT </w:instrText>
      </w:r>
      <w:r w:rsidR="001C5A4F">
        <w:rPr>
          <w:rFonts w:ascii="Helvetica" w:eastAsia="Times New Roman" w:hAnsi="Helvetica" w:cs="Helvetica"/>
          <w:color w:val="000000"/>
          <w:sz w:val="24"/>
          <w:szCs w:val="24"/>
        </w:rPr>
        <w:fldChar w:fldCharType="separate"/>
      </w:r>
      <w:r w:rsidR="001C5A4F">
        <w:rPr>
          <w:rFonts w:ascii="Helvetica" w:eastAsia="Times New Roman" w:hAnsi="Helvetica" w:cs="Helvetica"/>
          <w:noProof/>
          <w:color w:val="000000"/>
          <w:sz w:val="24"/>
          <w:szCs w:val="24"/>
        </w:rPr>
        <w:t>«HP»</w:t>
      </w:r>
      <w:r w:rsidR="001C5A4F">
        <w:rPr>
          <w:rFonts w:ascii="Helvetica" w:eastAsia="Times New Roman" w:hAnsi="Helvetica" w:cs="Helvetica"/>
          <w:color w:val="000000"/>
          <w:sz w:val="24"/>
          <w:szCs w:val="24"/>
        </w:rPr>
        <w:fldChar w:fldCharType="end"/>
      </w:r>
      <w:r w:rsidRPr="002C07D3">
        <w:rPr>
          <w:rFonts w:ascii="Helvetica" w:eastAsia="Times New Roman" w:hAnsi="Helvetica" w:cs="Helvetica"/>
          <w:color w:val="000000"/>
          <w:sz w:val="24"/>
          <w:szCs w:val="24"/>
        </w:rPr>
        <w:t xml:space="preserve"> </w:t>
      </w:r>
      <w:r w:rsidR="00804303">
        <w:rPr>
          <w:rFonts w:ascii="Helvetica" w:eastAsia="Times New Roman" w:hAnsi="Helvetica" w:cs="Helvetica"/>
          <w:color w:val="000000"/>
          <w:sz w:val="24"/>
          <w:szCs w:val="24"/>
        </w:rPr>
        <w:t>years would</w:t>
      </w:r>
      <w:r>
        <w:rPr>
          <w:rFonts w:ascii="Helvetica" w:eastAsia="Times New Roman" w:hAnsi="Helvetica" w:cs="Helvetica"/>
          <w:color w:val="000000"/>
          <w:sz w:val="24"/>
          <w:szCs w:val="24"/>
        </w:rPr>
        <w:t xml:space="preserve"> be</w:t>
      </w:r>
      <w:r w:rsidR="001C5A4F">
        <w:rPr>
          <w:rFonts w:ascii="Helvetica" w:eastAsia="Times New Roman" w:hAnsi="Helvetica" w:cs="Helvetica"/>
          <w:color w:val="000000"/>
          <w:sz w:val="24"/>
          <w:szCs w:val="24"/>
        </w:rPr>
        <w:t>:</w:t>
      </w:r>
      <w:r w:rsidRPr="002C07D3">
        <w:rPr>
          <w:rFonts w:ascii="Helvetica" w:eastAsia="Times New Roman" w:hAnsi="Helvetica" w:cs="Helvetica"/>
          <w:color w:val="000000"/>
          <w:sz w:val="24"/>
          <w:szCs w:val="24"/>
        </w:rPr>
        <w:t xml:space="preserve"> </w:t>
      </w:r>
      <w:r w:rsidR="001C5A4F">
        <w:rPr>
          <w:rFonts w:ascii="Helvetica" w:eastAsia="Times New Roman" w:hAnsi="Helvetica" w:cs="Helvetica"/>
          <w:color w:val="000000"/>
          <w:sz w:val="24"/>
          <w:szCs w:val="24"/>
        </w:rPr>
        <w:fldChar w:fldCharType="begin"/>
      </w:r>
      <w:r w:rsidR="001C5A4F">
        <w:rPr>
          <w:rFonts w:ascii="Helvetica" w:eastAsia="Times New Roman" w:hAnsi="Helvetica" w:cs="Helvetica"/>
          <w:color w:val="000000"/>
          <w:sz w:val="24"/>
          <w:szCs w:val="24"/>
        </w:rPr>
        <w:instrText xml:space="preserve"> MERGEFIELD  ACCDEP  \* MERGEFORMAT </w:instrText>
      </w:r>
      <w:r w:rsidR="001C5A4F">
        <w:rPr>
          <w:rFonts w:ascii="Helvetica" w:eastAsia="Times New Roman" w:hAnsi="Helvetica" w:cs="Helvetica"/>
          <w:color w:val="000000"/>
          <w:sz w:val="24"/>
          <w:szCs w:val="24"/>
        </w:rPr>
        <w:fldChar w:fldCharType="separate"/>
      </w:r>
      <w:r w:rsidR="001C5A4F">
        <w:rPr>
          <w:rFonts w:ascii="Helvetica" w:eastAsia="Times New Roman" w:hAnsi="Helvetica" w:cs="Helvetica"/>
          <w:noProof/>
          <w:color w:val="000000"/>
          <w:sz w:val="24"/>
          <w:szCs w:val="24"/>
        </w:rPr>
        <w:t>«ACCDEP»</w:t>
      </w:r>
      <w:r w:rsidR="001C5A4F">
        <w:rPr>
          <w:rFonts w:ascii="Helvetica" w:eastAsia="Times New Roman" w:hAnsi="Helvetica" w:cs="Helvetica"/>
          <w:color w:val="000000"/>
          <w:sz w:val="24"/>
          <w:szCs w:val="24"/>
        </w:rPr>
        <w:fldChar w:fldCharType="end"/>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6"/>
        <w:gridCol w:w="1724"/>
      </w:tblGrid>
      <w:tr w:rsidR="001C5A4F" w:rsidRPr="00BC1641" w14:paraId="64C524B6" w14:textId="77777777" w:rsidTr="007D52C7">
        <w:trPr>
          <w:trHeight w:val="219"/>
          <w:jc w:val="right"/>
        </w:trPr>
        <w:tc>
          <w:tcPr>
            <w:tcW w:w="5000" w:type="pct"/>
            <w:gridSpan w:val="2"/>
            <w:tcBorders>
              <w:top w:val="single" w:sz="6" w:space="0" w:color="B4C6E7" w:themeColor="accent1" w:themeTint="66"/>
              <w:bottom w:val="single" w:sz="6" w:space="0" w:color="B4C6E7" w:themeColor="accent1" w:themeTint="66"/>
            </w:tcBorders>
            <w:shd w:val="clear" w:color="auto" w:fill="F6F8FC"/>
          </w:tcPr>
          <w:p w14:paraId="4E77CB75" w14:textId="77777777" w:rsidR="001C5A4F" w:rsidRPr="00BC1641" w:rsidRDefault="001C5A4F" w:rsidP="007D52C7">
            <w:pPr>
              <w:spacing w:line="360" w:lineRule="auto"/>
              <w:jc w:val="both"/>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1641">
              <w:rPr>
                <w:rFonts w:ascii="Helvetica" w:hAnsi="Helvetica" w:cs="Helvetica"/>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Tax Due on </w:t>
            </w:r>
            <w:r w:rsidRPr="00BC1641">
              <w:rPr>
                <w:rFonts w:ascii="Helvetica" w:hAnsi="Helvetica" w:cs="Helvetica"/>
                <w:bCs/>
                <w:color w:val="4472C4" w:themeColor="accent1"/>
                <w:sz w:val="20"/>
                <w:szCs w:val="20"/>
                <w:shd w:val="clear" w:color="auto" w:fill="F6F8F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Sale</w:t>
            </w:r>
          </w:p>
        </w:tc>
      </w:tr>
      <w:tr w:rsidR="001C5A4F" w:rsidRPr="006124EA" w14:paraId="0005BB99" w14:textId="77777777" w:rsidTr="007D52C7">
        <w:trPr>
          <w:trHeight w:val="360"/>
          <w:jc w:val="right"/>
        </w:trPr>
        <w:tc>
          <w:tcPr>
            <w:tcW w:w="4079" w:type="pct"/>
            <w:tcBorders>
              <w:top w:val="single" w:sz="6" w:space="0" w:color="B4C6E7" w:themeColor="accent1" w:themeTint="66"/>
            </w:tcBorders>
          </w:tcPr>
          <w:p w14:paraId="7A1E58D1" w14:textId="77777777" w:rsidR="001C5A4F" w:rsidRPr="00C04DB9" w:rsidRDefault="001C5A4F" w:rsidP="007D52C7">
            <w:pPr>
              <w:spacing w:line="360" w:lineRule="auto"/>
              <w:jc w:val="both"/>
              <w:rPr>
                <w:rFonts w:ascii="Helvetica" w:hAnsi="Helvetica" w:cs="Helvetica"/>
                <w:sz w:val="20"/>
                <w:szCs w:val="20"/>
              </w:rPr>
            </w:pPr>
            <w:r w:rsidRPr="00C04DB9">
              <w:rPr>
                <w:rFonts w:ascii="Helvetica" w:hAnsi="Helvetica" w:cs="Helvetica"/>
                <w:sz w:val="20"/>
                <w:szCs w:val="20"/>
              </w:rPr>
              <w:t>Estimated Sale Price:</w:t>
            </w:r>
          </w:p>
        </w:tc>
        <w:tc>
          <w:tcPr>
            <w:tcW w:w="921" w:type="pct"/>
            <w:tcBorders>
              <w:top w:val="single" w:sz="6" w:space="0" w:color="B4C6E7" w:themeColor="accent1" w:themeTint="66"/>
            </w:tcBorders>
          </w:tcPr>
          <w:p w14:paraId="7942500B"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ESP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«ESP»</w:t>
            </w:r>
            <w:r w:rsidRPr="006124EA">
              <w:rPr>
                <w:rFonts w:ascii="Helvetica" w:hAnsi="Helvetica" w:cs="Helvetica"/>
                <w:sz w:val="18"/>
                <w:szCs w:val="18"/>
              </w:rPr>
              <w:fldChar w:fldCharType="end"/>
            </w:r>
          </w:p>
        </w:tc>
      </w:tr>
      <w:tr w:rsidR="001C5A4F" w:rsidRPr="006124EA" w14:paraId="3867A906" w14:textId="77777777" w:rsidTr="007D52C7">
        <w:trPr>
          <w:trHeight w:val="360"/>
          <w:jc w:val="right"/>
        </w:trPr>
        <w:tc>
          <w:tcPr>
            <w:tcW w:w="4079" w:type="pct"/>
          </w:tcPr>
          <w:p w14:paraId="76FA8AF6" w14:textId="77777777" w:rsidR="001C5A4F" w:rsidRPr="00C04DB9" w:rsidRDefault="001C5A4F" w:rsidP="007D52C7">
            <w:pPr>
              <w:spacing w:line="360" w:lineRule="auto"/>
              <w:ind w:left="720"/>
              <w:jc w:val="both"/>
              <w:rPr>
                <w:rFonts w:ascii="Helvetica" w:hAnsi="Helvetica" w:cs="Helvetica"/>
                <w:sz w:val="20"/>
                <w:szCs w:val="20"/>
              </w:rPr>
            </w:pPr>
            <w:r w:rsidRPr="00C04DB9">
              <w:rPr>
                <w:rFonts w:ascii="Helvetica" w:hAnsi="Helvetica" w:cs="Helvetica"/>
                <w:sz w:val="20"/>
                <w:szCs w:val="20"/>
              </w:rPr>
              <w:t>Selling Expenses</w:t>
            </w:r>
          </w:p>
        </w:tc>
        <w:tc>
          <w:tcPr>
            <w:tcW w:w="921" w:type="pct"/>
            <w:tcBorders>
              <w:bottom w:val="single" w:sz="4" w:space="0" w:color="auto"/>
            </w:tcBorders>
          </w:tcPr>
          <w:p w14:paraId="04B1E9EC"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SEN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«SEN»</w:t>
            </w:r>
            <w:r w:rsidRPr="006124EA">
              <w:rPr>
                <w:rFonts w:ascii="Helvetica" w:hAnsi="Helvetica" w:cs="Helvetica"/>
                <w:sz w:val="18"/>
                <w:szCs w:val="18"/>
              </w:rPr>
              <w:fldChar w:fldCharType="end"/>
            </w:r>
          </w:p>
        </w:tc>
      </w:tr>
      <w:tr w:rsidR="001C5A4F" w:rsidRPr="006124EA" w14:paraId="6898D70A" w14:textId="77777777" w:rsidTr="007D52C7">
        <w:trPr>
          <w:trHeight w:val="360"/>
          <w:jc w:val="right"/>
        </w:trPr>
        <w:tc>
          <w:tcPr>
            <w:tcW w:w="4079" w:type="pct"/>
          </w:tcPr>
          <w:p w14:paraId="7BCC1E0C" w14:textId="77777777" w:rsidR="001C5A4F" w:rsidRPr="00AE54F4" w:rsidRDefault="001C5A4F" w:rsidP="007D52C7">
            <w:pPr>
              <w:spacing w:line="360" w:lineRule="auto"/>
              <w:jc w:val="both"/>
              <w:rPr>
                <w:rFonts w:ascii="Helvetica" w:hAnsi="Helvetica" w:cs="Helvetica"/>
              </w:rPr>
            </w:pPr>
            <w:r w:rsidRPr="00AE54F4">
              <w:rPr>
                <w:rFonts w:ascii="Helvetica" w:hAnsi="Helvetica" w:cs="Helvetica"/>
              </w:rPr>
              <w:t>Net Sale price</w:t>
            </w:r>
          </w:p>
        </w:tc>
        <w:tc>
          <w:tcPr>
            <w:tcW w:w="921" w:type="pct"/>
            <w:tcBorders>
              <w:top w:val="single" w:sz="4" w:space="0" w:color="auto"/>
            </w:tcBorders>
          </w:tcPr>
          <w:p w14:paraId="60A9AE84"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NSP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«NSP»</w:t>
            </w:r>
            <w:r w:rsidRPr="006124EA">
              <w:rPr>
                <w:rFonts w:ascii="Helvetica" w:hAnsi="Helvetica" w:cs="Helvetica"/>
                <w:sz w:val="18"/>
                <w:szCs w:val="18"/>
              </w:rPr>
              <w:fldChar w:fldCharType="end"/>
            </w:r>
          </w:p>
        </w:tc>
      </w:tr>
      <w:tr w:rsidR="001C5A4F" w:rsidRPr="006124EA" w14:paraId="0915E88A" w14:textId="77777777" w:rsidTr="007D52C7">
        <w:trPr>
          <w:trHeight w:val="70"/>
          <w:jc w:val="right"/>
        </w:trPr>
        <w:tc>
          <w:tcPr>
            <w:tcW w:w="4079" w:type="pct"/>
          </w:tcPr>
          <w:p w14:paraId="4A7E99B6" w14:textId="77777777" w:rsidR="001C5A4F" w:rsidRPr="00C04DB9" w:rsidRDefault="001C5A4F" w:rsidP="007D52C7">
            <w:pPr>
              <w:spacing w:line="360" w:lineRule="auto"/>
              <w:jc w:val="both"/>
              <w:rPr>
                <w:rFonts w:ascii="Helvetica" w:hAnsi="Helvetica" w:cs="Helvetica"/>
                <w:sz w:val="20"/>
                <w:szCs w:val="20"/>
              </w:rPr>
            </w:pPr>
          </w:p>
        </w:tc>
        <w:tc>
          <w:tcPr>
            <w:tcW w:w="921" w:type="pct"/>
          </w:tcPr>
          <w:p w14:paraId="75DBB75A" w14:textId="77777777" w:rsidR="001C5A4F" w:rsidRPr="006124EA" w:rsidRDefault="001C5A4F" w:rsidP="007D52C7">
            <w:pPr>
              <w:spacing w:line="360" w:lineRule="auto"/>
              <w:jc w:val="both"/>
              <w:rPr>
                <w:rFonts w:ascii="Helvetica" w:hAnsi="Helvetica" w:cs="Helvetica"/>
                <w:sz w:val="18"/>
                <w:szCs w:val="18"/>
              </w:rPr>
            </w:pPr>
          </w:p>
        </w:tc>
      </w:tr>
      <w:tr w:rsidR="001C5A4F" w:rsidRPr="006124EA" w14:paraId="00495D50" w14:textId="77777777" w:rsidTr="007D52C7">
        <w:trPr>
          <w:trHeight w:val="360"/>
          <w:jc w:val="right"/>
        </w:trPr>
        <w:tc>
          <w:tcPr>
            <w:tcW w:w="4079" w:type="pct"/>
          </w:tcPr>
          <w:p w14:paraId="2886BEE4" w14:textId="77777777" w:rsidR="001C5A4F" w:rsidRPr="00C04DB9" w:rsidRDefault="001C5A4F" w:rsidP="007D52C7">
            <w:pPr>
              <w:spacing w:line="360" w:lineRule="auto"/>
              <w:jc w:val="both"/>
              <w:rPr>
                <w:rFonts w:ascii="Helvetica" w:hAnsi="Helvetica" w:cs="Helvetica"/>
                <w:sz w:val="20"/>
                <w:szCs w:val="20"/>
              </w:rPr>
            </w:pPr>
            <w:r w:rsidRPr="00C04DB9">
              <w:rPr>
                <w:rFonts w:ascii="Helvetica" w:hAnsi="Helvetica" w:cs="Helvetica"/>
                <w:sz w:val="20"/>
                <w:szCs w:val="20"/>
              </w:rPr>
              <w:t>Purchase Price</w:t>
            </w:r>
          </w:p>
        </w:tc>
        <w:tc>
          <w:tcPr>
            <w:tcW w:w="921" w:type="pct"/>
          </w:tcPr>
          <w:p w14:paraId="5455F29D"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PP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«PP»</w:t>
            </w:r>
            <w:r w:rsidRPr="006124EA">
              <w:rPr>
                <w:rFonts w:ascii="Helvetica" w:hAnsi="Helvetica" w:cs="Helvetica"/>
                <w:sz w:val="18"/>
                <w:szCs w:val="18"/>
              </w:rPr>
              <w:fldChar w:fldCharType="end"/>
            </w:r>
          </w:p>
        </w:tc>
      </w:tr>
      <w:tr w:rsidR="001C5A4F" w:rsidRPr="006124EA" w14:paraId="7C0FD238" w14:textId="77777777" w:rsidTr="007D52C7">
        <w:trPr>
          <w:trHeight w:val="360"/>
          <w:jc w:val="right"/>
        </w:trPr>
        <w:tc>
          <w:tcPr>
            <w:tcW w:w="4079" w:type="pct"/>
          </w:tcPr>
          <w:p w14:paraId="198D653C" w14:textId="77777777" w:rsidR="001C5A4F" w:rsidRPr="00C04DB9" w:rsidRDefault="001C5A4F" w:rsidP="007D52C7">
            <w:pPr>
              <w:spacing w:line="360" w:lineRule="auto"/>
              <w:ind w:left="720"/>
              <w:jc w:val="both"/>
              <w:rPr>
                <w:rFonts w:ascii="Helvetica" w:hAnsi="Helvetica" w:cs="Helvetica"/>
                <w:sz w:val="20"/>
                <w:szCs w:val="20"/>
              </w:rPr>
            </w:pPr>
            <w:r w:rsidRPr="00C04DB9">
              <w:rPr>
                <w:rFonts w:ascii="Helvetica" w:hAnsi="Helvetica" w:cs="Helvetica"/>
                <w:sz w:val="20"/>
                <w:szCs w:val="20"/>
              </w:rPr>
              <w:t>Purchase Expenses</w:t>
            </w:r>
            <w:r>
              <w:rPr>
                <w:rFonts w:ascii="Helvetica" w:hAnsi="Helvetica" w:cs="Helvetica"/>
                <w:sz w:val="20"/>
                <w:szCs w:val="20"/>
              </w:rPr>
              <w:t xml:space="preserve"> &amp; Improvement Costs</w:t>
            </w:r>
          </w:p>
        </w:tc>
        <w:tc>
          <w:tcPr>
            <w:tcW w:w="921" w:type="pct"/>
          </w:tcPr>
          <w:p w14:paraId="607177DA"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PPI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«PPI»</w:t>
            </w:r>
            <w:r w:rsidRPr="006124EA">
              <w:rPr>
                <w:rFonts w:ascii="Helvetica" w:hAnsi="Helvetica" w:cs="Helvetica"/>
                <w:sz w:val="18"/>
                <w:szCs w:val="18"/>
              </w:rPr>
              <w:fldChar w:fldCharType="end"/>
            </w:r>
          </w:p>
        </w:tc>
      </w:tr>
      <w:tr w:rsidR="001C5A4F" w:rsidRPr="006124EA" w14:paraId="60226B36" w14:textId="77777777" w:rsidTr="007D52C7">
        <w:trPr>
          <w:trHeight w:val="360"/>
          <w:jc w:val="right"/>
        </w:trPr>
        <w:tc>
          <w:tcPr>
            <w:tcW w:w="4079" w:type="pct"/>
          </w:tcPr>
          <w:p w14:paraId="0600B392" w14:textId="77777777" w:rsidR="001C5A4F" w:rsidRPr="00C04DB9" w:rsidRDefault="001C5A4F" w:rsidP="007D52C7">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Accumulated Depreciation</w:t>
            </w:r>
          </w:p>
        </w:tc>
        <w:tc>
          <w:tcPr>
            <w:tcW w:w="921" w:type="pct"/>
            <w:tcBorders>
              <w:bottom w:val="single" w:sz="4" w:space="0" w:color="auto"/>
            </w:tcBorders>
          </w:tcPr>
          <w:p w14:paraId="63F59A04"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ACDP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«ACDP»</w:t>
            </w:r>
            <w:r w:rsidRPr="006124EA">
              <w:rPr>
                <w:rFonts w:ascii="Helvetica" w:hAnsi="Helvetica" w:cs="Helvetica"/>
                <w:sz w:val="18"/>
                <w:szCs w:val="18"/>
              </w:rPr>
              <w:fldChar w:fldCharType="end"/>
            </w:r>
          </w:p>
        </w:tc>
      </w:tr>
      <w:tr w:rsidR="001C5A4F" w:rsidRPr="006124EA" w14:paraId="1B598E16" w14:textId="77777777" w:rsidTr="007D52C7">
        <w:trPr>
          <w:trHeight w:val="360"/>
          <w:jc w:val="right"/>
        </w:trPr>
        <w:tc>
          <w:tcPr>
            <w:tcW w:w="4079" w:type="pct"/>
          </w:tcPr>
          <w:p w14:paraId="2377D5B4" w14:textId="77777777" w:rsidR="001C5A4F" w:rsidRPr="00AE54F4" w:rsidRDefault="001C5A4F" w:rsidP="007D52C7">
            <w:pPr>
              <w:tabs>
                <w:tab w:val="left" w:pos="3150"/>
              </w:tabs>
              <w:spacing w:line="360" w:lineRule="auto"/>
              <w:jc w:val="both"/>
              <w:rPr>
                <w:rFonts w:ascii="Helvetica" w:hAnsi="Helvetica" w:cs="Helvetica"/>
              </w:rPr>
            </w:pPr>
            <w:r w:rsidRPr="00AE54F4">
              <w:rPr>
                <w:rFonts w:ascii="Helvetica" w:hAnsi="Helvetica" w:cs="Helvetica"/>
              </w:rPr>
              <w:t>Adjusted Basis of property at the time of sale</w:t>
            </w:r>
            <w:r w:rsidRPr="00AE54F4">
              <w:rPr>
                <w:rFonts w:ascii="Helvetica" w:hAnsi="Helvetica" w:cs="Helvetica"/>
              </w:rPr>
              <w:tab/>
            </w:r>
          </w:p>
        </w:tc>
        <w:tc>
          <w:tcPr>
            <w:tcW w:w="921" w:type="pct"/>
            <w:tcBorders>
              <w:top w:val="single" w:sz="4" w:space="0" w:color="auto"/>
            </w:tcBorders>
          </w:tcPr>
          <w:p w14:paraId="474E211F"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AJB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«AJB»</w:t>
            </w:r>
            <w:r w:rsidRPr="006124EA">
              <w:rPr>
                <w:rFonts w:ascii="Helvetica" w:hAnsi="Helvetica" w:cs="Helvetica"/>
                <w:sz w:val="18"/>
                <w:szCs w:val="18"/>
              </w:rPr>
              <w:fldChar w:fldCharType="end"/>
            </w:r>
          </w:p>
        </w:tc>
      </w:tr>
      <w:tr w:rsidR="001C5A4F" w:rsidRPr="006124EA" w14:paraId="60DA28C5" w14:textId="77777777" w:rsidTr="007D52C7">
        <w:trPr>
          <w:trHeight w:val="360"/>
          <w:jc w:val="right"/>
        </w:trPr>
        <w:tc>
          <w:tcPr>
            <w:tcW w:w="4079" w:type="pct"/>
          </w:tcPr>
          <w:p w14:paraId="55ACA414" w14:textId="77777777" w:rsidR="001C5A4F" w:rsidRPr="00C04DB9" w:rsidRDefault="001C5A4F" w:rsidP="007D52C7">
            <w:pPr>
              <w:tabs>
                <w:tab w:val="left" w:pos="3150"/>
              </w:tabs>
              <w:spacing w:line="360" w:lineRule="auto"/>
              <w:jc w:val="both"/>
              <w:rPr>
                <w:rFonts w:ascii="Helvetica" w:hAnsi="Helvetica" w:cs="Helvetica"/>
                <w:sz w:val="20"/>
                <w:szCs w:val="20"/>
              </w:rPr>
            </w:pPr>
          </w:p>
        </w:tc>
        <w:tc>
          <w:tcPr>
            <w:tcW w:w="921" w:type="pct"/>
          </w:tcPr>
          <w:p w14:paraId="5B1F750C" w14:textId="77777777" w:rsidR="001C5A4F" w:rsidRPr="006124EA" w:rsidRDefault="001C5A4F" w:rsidP="007D52C7">
            <w:pPr>
              <w:spacing w:line="360" w:lineRule="auto"/>
              <w:jc w:val="both"/>
              <w:rPr>
                <w:rFonts w:ascii="Helvetica" w:hAnsi="Helvetica" w:cs="Helvetica"/>
                <w:sz w:val="18"/>
                <w:szCs w:val="18"/>
              </w:rPr>
            </w:pPr>
          </w:p>
        </w:tc>
      </w:tr>
      <w:tr w:rsidR="001C5A4F" w:rsidRPr="006124EA" w14:paraId="215B6BDB" w14:textId="77777777" w:rsidTr="007D52C7">
        <w:trPr>
          <w:trHeight w:val="360"/>
          <w:jc w:val="right"/>
        </w:trPr>
        <w:tc>
          <w:tcPr>
            <w:tcW w:w="4079" w:type="pct"/>
          </w:tcPr>
          <w:p w14:paraId="2C5AFE7C" w14:textId="77777777" w:rsidR="001C5A4F" w:rsidRPr="00C04DB9" w:rsidRDefault="001C5A4F" w:rsidP="007D52C7">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Net Sale Price</w:t>
            </w:r>
          </w:p>
        </w:tc>
        <w:tc>
          <w:tcPr>
            <w:tcW w:w="921" w:type="pct"/>
          </w:tcPr>
          <w:p w14:paraId="39E1AA9F"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NSP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«NSP»</w:t>
            </w:r>
            <w:r w:rsidRPr="006124EA">
              <w:rPr>
                <w:rFonts w:ascii="Helvetica" w:hAnsi="Helvetica" w:cs="Helvetica"/>
                <w:sz w:val="18"/>
                <w:szCs w:val="18"/>
              </w:rPr>
              <w:fldChar w:fldCharType="end"/>
            </w:r>
          </w:p>
        </w:tc>
      </w:tr>
      <w:tr w:rsidR="001C5A4F" w:rsidRPr="006124EA" w14:paraId="7B2D0F77" w14:textId="77777777" w:rsidTr="007D52C7">
        <w:trPr>
          <w:trHeight w:val="360"/>
          <w:jc w:val="right"/>
        </w:trPr>
        <w:tc>
          <w:tcPr>
            <w:tcW w:w="4079" w:type="pct"/>
          </w:tcPr>
          <w:p w14:paraId="4B457F15" w14:textId="77777777" w:rsidR="001C5A4F" w:rsidRPr="00C04DB9" w:rsidRDefault="001C5A4F" w:rsidP="007D52C7">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Adjusted Basis of property</w:t>
            </w:r>
          </w:p>
        </w:tc>
        <w:tc>
          <w:tcPr>
            <w:tcW w:w="921" w:type="pct"/>
            <w:tcBorders>
              <w:bottom w:val="single" w:sz="4" w:space="0" w:color="auto"/>
            </w:tcBorders>
          </w:tcPr>
          <w:p w14:paraId="44293041"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AJBN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«AJBN»</w:t>
            </w:r>
            <w:r w:rsidRPr="006124EA">
              <w:rPr>
                <w:rFonts w:ascii="Helvetica" w:hAnsi="Helvetica" w:cs="Helvetica"/>
                <w:sz w:val="18"/>
                <w:szCs w:val="18"/>
              </w:rPr>
              <w:fldChar w:fldCharType="end"/>
            </w:r>
          </w:p>
        </w:tc>
      </w:tr>
      <w:tr w:rsidR="001C5A4F" w:rsidRPr="006124EA" w14:paraId="6165666E" w14:textId="77777777" w:rsidTr="007D52C7">
        <w:trPr>
          <w:trHeight w:val="360"/>
          <w:jc w:val="right"/>
        </w:trPr>
        <w:tc>
          <w:tcPr>
            <w:tcW w:w="4079" w:type="pct"/>
          </w:tcPr>
          <w:p w14:paraId="0AB750FA" w14:textId="77777777" w:rsidR="001C5A4F" w:rsidRPr="00AE54F4" w:rsidRDefault="001C5A4F" w:rsidP="007D52C7">
            <w:pPr>
              <w:tabs>
                <w:tab w:val="left" w:pos="3150"/>
              </w:tabs>
              <w:spacing w:line="360" w:lineRule="auto"/>
              <w:jc w:val="both"/>
              <w:rPr>
                <w:rFonts w:ascii="Helvetica" w:hAnsi="Helvetica" w:cs="Helvetica"/>
              </w:rPr>
            </w:pPr>
            <w:r w:rsidRPr="00AE54F4">
              <w:rPr>
                <w:rFonts w:ascii="Helvetica" w:hAnsi="Helvetica" w:cs="Helvetica"/>
              </w:rPr>
              <w:t>Gain Realized on sale</w:t>
            </w:r>
          </w:p>
        </w:tc>
        <w:tc>
          <w:tcPr>
            <w:tcW w:w="921" w:type="pct"/>
            <w:tcBorders>
              <w:top w:val="single" w:sz="4" w:space="0" w:color="auto"/>
            </w:tcBorders>
          </w:tcPr>
          <w:p w14:paraId="35AA4D54"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GRS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«GRS»</w:t>
            </w:r>
            <w:r w:rsidRPr="006124EA">
              <w:rPr>
                <w:rFonts w:ascii="Helvetica" w:hAnsi="Helvetica" w:cs="Helvetica"/>
                <w:sz w:val="18"/>
                <w:szCs w:val="18"/>
              </w:rPr>
              <w:fldChar w:fldCharType="end"/>
            </w:r>
          </w:p>
        </w:tc>
      </w:tr>
      <w:tr w:rsidR="001C5A4F" w:rsidRPr="006124EA" w14:paraId="10D82A79" w14:textId="77777777" w:rsidTr="007D52C7">
        <w:trPr>
          <w:trHeight w:val="360"/>
          <w:jc w:val="right"/>
        </w:trPr>
        <w:tc>
          <w:tcPr>
            <w:tcW w:w="4079" w:type="pct"/>
          </w:tcPr>
          <w:p w14:paraId="0A177EC7" w14:textId="77777777" w:rsidR="001C5A4F" w:rsidRPr="00C04DB9" w:rsidRDefault="001C5A4F" w:rsidP="007D52C7">
            <w:pPr>
              <w:tabs>
                <w:tab w:val="left" w:pos="3150"/>
              </w:tabs>
              <w:spacing w:line="360" w:lineRule="auto"/>
              <w:jc w:val="both"/>
              <w:rPr>
                <w:rFonts w:ascii="Helvetica" w:hAnsi="Helvetica" w:cs="Helvetica"/>
                <w:sz w:val="20"/>
                <w:szCs w:val="20"/>
              </w:rPr>
            </w:pPr>
          </w:p>
        </w:tc>
        <w:tc>
          <w:tcPr>
            <w:tcW w:w="921" w:type="pct"/>
          </w:tcPr>
          <w:p w14:paraId="42675296" w14:textId="77777777" w:rsidR="001C5A4F" w:rsidRPr="006124EA" w:rsidRDefault="001C5A4F" w:rsidP="007D52C7">
            <w:pPr>
              <w:spacing w:line="360" w:lineRule="auto"/>
              <w:jc w:val="both"/>
              <w:rPr>
                <w:rFonts w:ascii="Helvetica" w:hAnsi="Helvetica" w:cs="Helvetica"/>
                <w:sz w:val="18"/>
                <w:szCs w:val="18"/>
              </w:rPr>
            </w:pPr>
          </w:p>
        </w:tc>
      </w:tr>
      <w:tr w:rsidR="001C5A4F" w:rsidRPr="006124EA" w14:paraId="1471FC1D" w14:textId="77777777" w:rsidTr="007D52C7">
        <w:trPr>
          <w:trHeight w:val="360"/>
          <w:jc w:val="right"/>
        </w:trPr>
        <w:tc>
          <w:tcPr>
            <w:tcW w:w="4079" w:type="pct"/>
          </w:tcPr>
          <w:p w14:paraId="4FE21F99" w14:textId="77777777" w:rsidR="001C5A4F" w:rsidRPr="00C04DB9" w:rsidRDefault="001C5A4F" w:rsidP="007D52C7">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Gain Realized on sale</w:t>
            </w:r>
          </w:p>
        </w:tc>
        <w:tc>
          <w:tcPr>
            <w:tcW w:w="921" w:type="pct"/>
          </w:tcPr>
          <w:p w14:paraId="30E320E7"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GRS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«GRS»</w:t>
            </w:r>
            <w:r w:rsidRPr="006124EA">
              <w:rPr>
                <w:rFonts w:ascii="Helvetica" w:hAnsi="Helvetica" w:cs="Helvetica"/>
                <w:sz w:val="18"/>
                <w:szCs w:val="18"/>
              </w:rPr>
              <w:fldChar w:fldCharType="end"/>
            </w:r>
          </w:p>
        </w:tc>
      </w:tr>
      <w:tr w:rsidR="001C5A4F" w:rsidRPr="006124EA" w14:paraId="4ADDA791" w14:textId="77777777" w:rsidTr="007D52C7">
        <w:trPr>
          <w:trHeight w:val="360"/>
          <w:jc w:val="right"/>
        </w:trPr>
        <w:tc>
          <w:tcPr>
            <w:tcW w:w="4079" w:type="pct"/>
          </w:tcPr>
          <w:p w14:paraId="73E18EDE" w14:textId="77777777" w:rsidR="001C5A4F" w:rsidRPr="00C04DB9" w:rsidRDefault="001C5A4F" w:rsidP="007D52C7">
            <w:pPr>
              <w:tabs>
                <w:tab w:val="left" w:pos="3150"/>
              </w:tabs>
              <w:spacing w:line="360" w:lineRule="auto"/>
              <w:ind w:left="720"/>
              <w:jc w:val="both"/>
              <w:rPr>
                <w:rFonts w:ascii="Helvetica" w:hAnsi="Helvetica" w:cs="Helvetica"/>
                <w:sz w:val="20"/>
                <w:szCs w:val="20"/>
              </w:rPr>
            </w:pPr>
            <w:r w:rsidRPr="00C04DB9">
              <w:rPr>
                <w:rFonts w:ascii="Helvetica" w:hAnsi="Helvetica" w:cs="Helvetica"/>
                <w:sz w:val="20"/>
                <w:szCs w:val="20"/>
              </w:rPr>
              <w:t>Depreciation Recaptured</w:t>
            </w:r>
          </w:p>
        </w:tc>
        <w:tc>
          <w:tcPr>
            <w:tcW w:w="921" w:type="pct"/>
            <w:tcBorders>
              <w:bottom w:val="single" w:sz="4" w:space="0" w:color="auto"/>
            </w:tcBorders>
          </w:tcPr>
          <w:p w14:paraId="2F32CC8A"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DEPR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«DEPR»</w:t>
            </w:r>
            <w:r w:rsidRPr="006124EA">
              <w:rPr>
                <w:rFonts w:ascii="Helvetica" w:hAnsi="Helvetica" w:cs="Helvetica"/>
                <w:sz w:val="18"/>
                <w:szCs w:val="18"/>
              </w:rPr>
              <w:fldChar w:fldCharType="end"/>
            </w:r>
          </w:p>
        </w:tc>
      </w:tr>
      <w:tr w:rsidR="001C5A4F" w:rsidRPr="006124EA" w14:paraId="65260132" w14:textId="77777777" w:rsidTr="007D52C7">
        <w:trPr>
          <w:trHeight w:val="360"/>
          <w:jc w:val="right"/>
        </w:trPr>
        <w:tc>
          <w:tcPr>
            <w:tcW w:w="4079" w:type="pct"/>
          </w:tcPr>
          <w:p w14:paraId="347252EC" w14:textId="77777777" w:rsidR="001C5A4F" w:rsidRPr="00AE54F4" w:rsidRDefault="001C5A4F" w:rsidP="007D52C7">
            <w:pPr>
              <w:tabs>
                <w:tab w:val="left" w:pos="3150"/>
              </w:tabs>
              <w:spacing w:line="360" w:lineRule="auto"/>
              <w:jc w:val="both"/>
              <w:rPr>
                <w:rFonts w:ascii="Helvetica" w:hAnsi="Helvetica" w:cs="Helvetica"/>
              </w:rPr>
            </w:pPr>
            <w:r w:rsidRPr="00AE54F4">
              <w:rPr>
                <w:rFonts w:ascii="Helvetica" w:hAnsi="Helvetica" w:cs="Helvetica"/>
              </w:rPr>
              <w:t>Gain Recognized on Sale</w:t>
            </w:r>
          </w:p>
        </w:tc>
        <w:tc>
          <w:tcPr>
            <w:tcW w:w="921" w:type="pct"/>
            <w:tcBorders>
              <w:top w:val="single" w:sz="4" w:space="0" w:color="auto"/>
            </w:tcBorders>
          </w:tcPr>
          <w:p w14:paraId="20E3FB22"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GS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«GS»</w:t>
            </w:r>
            <w:r w:rsidRPr="006124EA">
              <w:rPr>
                <w:rFonts w:ascii="Helvetica" w:hAnsi="Helvetica" w:cs="Helvetica"/>
                <w:sz w:val="18"/>
                <w:szCs w:val="18"/>
              </w:rPr>
              <w:fldChar w:fldCharType="end"/>
            </w:r>
          </w:p>
        </w:tc>
      </w:tr>
      <w:tr w:rsidR="001C5A4F" w:rsidRPr="006124EA" w14:paraId="40F36320" w14:textId="77777777" w:rsidTr="007D52C7">
        <w:trPr>
          <w:trHeight w:val="360"/>
          <w:jc w:val="right"/>
        </w:trPr>
        <w:tc>
          <w:tcPr>
            <w:tcW w:w="4079" w:type="pct"/>
          </w:tcPr>
          <w:p w14:paraId="7E08BDB1" w14:textId="77777777" w:rsidR="001C5A4F" w:rsidRPr="00C04DB9" w:rsidRDefault="001C5A4F" w:rsidP="007D52C7">
            <w:pPr>
              <w:tabs>
                <w:tab w:val="left" w:pos="3150"/>
              </w:tabs>
              <w:spacing w:line="360" w:lineRule="auto"/>
              <w:ind w:left="720"/>
              <w:jc w:val="both"/>
              <w:rPr>
                <w:rFonts w:ascii="Helvetica" w:hAnsi="Helvetica" w:cs="Helvetica"/>
                <w:sz w:val="20"/>
                <w:szCs w:val="20"/>
              </w:rPr>
            </w:pPr>
          </w:p>
        </w:tc>
        <w:tc>
          <w:tcPr>
            <w:tcW w:w="921" w:type="pct"/>
          </w:tcPr>
          <w:p w14:paraId="30622A09" w14:textId="77777777" w:rsidR="001C5A4F" w:rsidRPr="006124EA" w:rsidRDefault="001C5A4F" w:rsidP="007D52C7">
            <w:pPr>
              <w:spacing w:line="360" w:lineRule="auto"/>
              <w:jc w:val="both"/>
              <w:rPr>
                <w:rFonts w:ascii="Helvetica" w:hAnsi="Helvetica" w:cs="Helvetica"/>
                <w:sz w:val="18"/>
                <w:szCs w:val="18"/>
              </w:rPr>
            </w:pPr>
          </w:p>
        </w:tc>
      </w:tr>
      <w:tr w:rsidR="001C5A4F" w:rsidRPr="006124EA" w14:paraId="0CF5347D" w14:textId="77777777" w:rsidTr="007D52C7">
        <w:trPr>
          <w:trHeight w:val="360"/>
          <w:jc w:val="right"/>
        </w:trPr>
        <w:tc>
          <w:tcPr>
            <w:tcW w:w="4079" w:type="pct"/>
          </w:tcPr>
          <w:p w14:paraId="542EA3E2" w14:textId="77777777" w:rsidR="001C5A4F" w:rsidRPr="00C04DB9" w:rsidRDefault="001C5A4F" w:rsidP="007D52C7">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Tax on Depreciation Recapture</w:t>
            </w:r>
            <w:r>
              <w:rPr>
                <w:rFonts w:ascii="Helvetica" w:hAnsi="Helvetica" w:cs="Helvetica"/>
                <w:sz w:val="20"/>
                <w:szCs w:val="20"/>
              </w:rPr>
              <w:t xml:space="preserve"> </w:t>
            </w:r>
            <w:r w:rsidRPr="00103FA1">
              <w:rPr>
                <w:rFonts w:ascii="Helvetica" w:hAnsi="Helvetica" w:cs="Helvetica"/>
                <w:sz w:val="16"/>
                <w:szCs w:val="16"/>
              </w:rPr>
              <w:t>(</w:t>
            </w:r>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DR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«DR»</w:t>
            </w:r>
            <w:r w:rsidRPr="00103FA1">
              <w:rPr>
                <w:rFonts w:ascii="Helvetica" w:hAnsi="Helvetica" w:cs="Helvetica"/>
                <w:sz w:val="16"/>
                <w:szCs w:val="16"/>
              </w:rPr>
              <w:fldChar w:fldCharType="end"/>
            </w:r>
            <m:oMath>
              <m:r>
                <w:rPr>
                  <w:rFonts w:ascii="Cambria Math" w:hAnsi="Cambria Math" w:cs="Helvetica"/>
                  <w:sz w:val="16"/>
                  <w:szCs w:val="16"/>
                </w:rPr>
                <m:t>×</m:t>
              </m:r>
            </m:oMath>
            <w:r w:rsidRPr="00103FA1">
              <w:rPr>
                <w:rFonts w:ascii="Helvetica" w:hAnsi="Helvetica" w:cs="Helvetica"/>
                <w:sz w:val="16"/>
                <w:szCs w:val="16"/>
              </w:rPr>
              <w:t xml:space="preserve"> </w:t>
            </w:r>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ACCD</w:instrText>
            </w:r>
            <w:r>
              <w:rPr>
                <w:rFonts w:ascii="Helvetica" w:hAnsi="Helvetica" w:cs="Helvetica"/>
                <w:sz w:val="16"/>
                <w:szCs w:val="16"/>
              </w:rPr>
              <w:instrText>P</w:instrText>
            </w:r>
            <w:r w:rsidRPr="00103FA1">
              <w:rPr>
                <w:rFonts w:ascii="Helvetica" w:hAnsi="Helvetica" w:cs="Helvetica"/>
                <w:sz w:val="16"/>
                <w:szCs w:val="16"/>
              </w:rPr>
              <w:instrText xml:space="preserve">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«ACCD</w:t>
            </w:r>
            <w:r>
              <w:rPr>
                <w:rFonts w:ascii="Helvetica" w:hAnsi="Helvetica" w:cs="Helvetica"/>
                <w:noProof/>
                <w:sz w:val="16"/>
                <w:szCs w:val="16"/>
              </w:rPr>
              <w:t>P</w:t>
            </w:r>
            <w:r w:rsidRPr="00103FA1">
              <w:rPr>
                <w:rFonts w:ascii="Helvetica" w:hAnsi="Helvetica" w:cs="Helvetica"/>
                <w:noProof/>
                <w:sz w:val="16"/>
                <w:szCs w:val="16"/>
              </w:rPr>
              <w:t>»</w:t>
            </w:r>
            <w:r w:rsidRPr="00103FA1">
              <w:rPr>
                <w:rFonts w:ascii="Helvetica" w:hAnsi="Helvetica" w:cs="Helvetica"/>
                <w:sz w:val="16"/>
                <w:szCs w:val="16"/>
              </w:rPr>
              <w:fldChar w:fldCharType="end"/>
            </w:r>
            <w:r w:rsidRPr="00103FA1">
              <w:rPr>
                <w:rFonts w:ascii="Helvetica" w:hAnsi="Helvetica" w:cs="Helvetica"/>
                <w:sz w:val="16"/>
                <w:szCs w:val="16"/>
              </w:rPr>
              <w:t>)</w:t>
            </w:r>
          </w:p>
        </w:tc>
        <w:tc>
          <w:tcPr>
            <w:tcW w:w="921" w:type="pct"/>
          </w:tcPr>
          <w:p w14:paraId="1C51E61A"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TDRE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«TDRE»</w:t>
            </w:r>
            <w:r w:rsidRPr="006124EA">
              <w:rPr>
                <w:rFonts w:ascii="Helvetica" w:hAnsi="Helvetica" w:cs="Helvetica"/>
                <w:sz w:val="18"/>
                <w:szCs w:val="18"/>
              </w:rPr>
              <w:fldChar w:fldCharType="end"/>
            </w:r>
          </w:p>
        </w:tc>
      </w:tr>
      <w:tr w:rsidR="001C5A4F" w:rsidRPr="006124EA" w14:paraId="16D812EA" w14:textId="77777777" w:rsidTr="007D52C7">
        <w:trPr>
          <w:trHeight w:val="360"/>
          <w:jc w:val="right"/>
        </w:trPr>
        <w:tc>
          <w:tcPr>
            <w:tcW w:w="4079" w:type="pct"/>
          </w:tcPr>
          <w:p w14:paraId="35EB4600" w14:textId="77777777" w:rsidR="001C5A4F" w:rsidRPr="00C04DB9" w:rsidRDefault="001C5A4F" w:rsidP="007D52C7">
            <w:pPr>
              <w:tabs>
                <w:tab w:val="left" w:pos="3150"/>
              </w:tabs>
              <w:spacing w:line="360" w:lineRule="auto"/>
              <w:jc w:val="both"/>
              <w:rPr>
                <w:rFonts w:ascii="Helvetica" w:hAnsi="Helvetica" w:cs="Helvetica"/>
                <w:sz w:val="20"/>
                <w:szCs w:val="20"/>
              </w:rPr>
            </w:pPr>
            <w:r w:rsidRPr="00C04DB9">
              <w:rPr>
                <w:rFonts w:ascii="Helvetica" w:hAnsi="Helvetica" w:cs="Helvetica"/>
                <w:sz w:val="20"/>
                <w:szCs w:val="20"/>
              </w:rPr>
              <w:t xml:space="preserve">Tax on Capital </w:t>
            </w:r>
            <w:r w:rsidRPr="00AE54F4">
              <w:rPr>
                <w:rFonts w:ascii="Helvetica" w:hAnsi="Helvetica" w:cs="Helvetica"/>
                <w:sz w:val="20"/>
                <w:szCs w:val="20"/>
              </w:rPr>
              <w:t xml:space="preserve">Gain </w:t>
            </w:r>
            <w:r w:rsidRPr="00103FA1">
              <w:rPr>
                <w:rFonts w:ascii="Helvetica" w:hAnsi="Helvetica" w:cs="Helvetica"/>
                <w:sz w:val="16"/>
                <w:szCs w:val="16"/>
              </w:rPr>
              <w:t>(</w:t>
            </w:r>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CR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«CR»</w:t>
            </w:r>
            <w:r w:rsidRPr="00103FA1">
              <w:rPr>
                <w:rFonts w:ascii="Helvetica" w:hAnsi="Helvetica" w:cs="Helvetica"/>
                <w:sz w:val="16"/>
                <w:szCs w:val="16"/>
              </w:rPr>
              <w:fldChar w:fldCharType="end"/>
            </w:r>
            <w:r w:rsidRPr="00103FA1">
              <w:rPr>
                <w:rFonts w:ascii="Helvetica" w:hAnsi="Helvetica" w:cs="Helvetica"/>
                <w:sz w:val="16"/>
                <w:szCs w:val="16"/>
              </w:rPr>
              <w:t xml:space="preserve"> </w:t>
            </w:r>
            <m:oMath>
              <m:r>
                <w:rPr>
                  <w:rFonts w:ascii="Cambria Math" w:hAnsi="Cambria Math" w:cs="Helvetica"/>
                  <w:sz w:val="16"/>
                  <w:szCs w:val="16"/>
                </w:rPr>
                <m:t>×</m:t>
              </m:r>
            </m:oMath>
            <w:r w:rsidRPr="00103FA1">
              <w:rPr>
                <w:rFonts w:ascii="Helvetica" w:hAnsi="Helvetica" w:cs="Helvetica"/>
                <w:sz w:val="16"/>
                <w:szCs w:val="16"/>
              </w:rPr>
              <w:fldChar w:fldCharType="begin"/>
            </w:r>
            <w:r w:rsidRPr="00103FA1">
              <w:rPr>
                <w:rFonts w:ascii="Helvetica" w:hAnsi="Helvetica" w:cs="Helvetica"/>
                <w:sz w:val="16"/>
                <w:szCs w:val="16"/>
              </w:rPr>
              <w:instrText xml:space="preserve"> MERGEFIELD  GS  \* MERGEFORMAT </w:instrText>
            </w:r>
            <w:r w:rsidRPr="00103FA1">
              <w:rPr>
                <w:rFonts w:ascii="Helvetica" w:hAnsi="Helvetica" w:cs="Helvetica"/>
                <w:sz w:val="16"/>
                <w:szCs w:val="16"/>
              </w:rPr>
              <w:fldChar w:fldCharType="separate"/>
            </w:r>
            <w:r w:rsidRPr="00103FA1">
              <w:rPr>
                <w:rFonts w:ascii="Helvetica" w:hAnsi="Helvetica" w:cs="Helvetica"/>
                <w:noProof/>
                <w:sz w:val="16"/>
                <w:szCs w:val="16"/>
              </w:rPr>
              <w:t>«GS»</w:t>
            </w:r>
            <w:r w:rsidRPr="00103FA1">
              <w:rPr>
                <w:rFonts w:ascii="Helvetica" w:hAnsi="Helvetica" w:cs="Helvetica"/>
                <w:sz w:val="16"/>
                <w:szCs w:val="16"/>
              </w:rPr>
              <w:fldChar w:fldCharType="end"/>
            </w:r>
            <w:r w:rsidRPr="00103FA1">
              <w:rPr>
                <w:rFonts w:ascii="Helvetica" w:eastAsiaTheme="minorEastAsia" w:hAnsi="Helvetica" w:cs="Helvetica"/>
                <w:sz w:val="16"/>
                <w:szCs w:val="16"/>
              </w:rPr>
              <w:t>)</w:t>
            </w:r>
          </w:p>
        </w:tc>
        <w:tc>
          <w:tcPr>
            <w:tcW w:w="921" w:type="pct"/>
            <w:tcBorders>
              <w:bottom w:val="single" w:sz="4" w:space="0" w:color="auto"/>
            </w:tcBorders>
          </w:tcPr>
          <w:p w14:paraId="1DE93662" w14:textId="77777777" w:rsidR="001C5A4F" w:rsidRPr="006124EA" w:rsidRDefault="001C5A4F" w:rsidP="007D52C7">
            <w:pPr>
              <w:spacing w:line="360" w:lineRule="auto"/>
              <w:jc w:val="both"/>
              <w:rPr>
                <w:rFonts w:ascii="Helvetica" w:hAnsi="Helvetica" w:cs="Helvetica"/>
                <w:sz w:val="18"/>
                <w:szCs w:val="18"/>
              </w:rPr>
            </w:pPr>
            <w:r w:rsidRPr="006124EA">
              <w:rPr>
                <w:rFonts w:ascii="Helvetica" w:hAnsi="Helvetica" w:cs="Helvetica"/>
                <w:sz w:val="18"/>
                <w:szCs w:val="18"/>
              </w:rPr>
              <w:fldChar w:fldCharType="begin"/>
            </w:r>
            <w:r w:rsidRPr="006124EA">
              <w:rPr>
                <w:rFonts w:ascii="Helvetica" w:hAnsi="Helvetica" w:cs="Helvetica"/>
                <w:sz w:val="18"/>
                <w:szCs w:val="18"/>
              </w:rPr>
              <w:instrText xml:space="preserve"> MERGEFIELD  TCAP  \* MERGEFORMAT </w:instrText>
            </w:r>
            <w:r w:rsidRPr="006124EA">
              <w:rPr>
                <w:rFonts w:ascii="Helvetica" w:hAnsi="Helvetica" w:cs="Helvetica"/>
                <w:sz w:val="18"/>
                <w:szCs w:val="18"/>
              </w:rPr>
              <w:fldChar w:fldCharType="separate"/>
            </w:r>
            <w:r w:rsidRPr="006124EA">
              <w:rPr>
                <w:rFonts w:ascii="Helvetica" w:hAnsi="Helvetica" w:cs="Helvetica"/>
                <w:noProof/>
                <w:sz w:val="18"/>
                <w:szCs w:val="18"/>
              </w:rPr>
              <w:t>«TCAP»</w:t>
            </w:r>
            <w:r w:rsidRPr="006124EA">
              <w:rPr>
                <w:rFonts w:ascii="Helvetica" w:hAnsi="Helvetica" w:cs="Helvetica"/>
                <w:sz w:val="18"/>
                <w:szCs w:val="18"/>
              </w:rPr>
              <w:fldChar w:fldCharType="end"/>
            </w:r>
          </w:p>
        </w:tc>
      </w:tr>
      <w:tr w:rsidR="001C5A4F" w:rsidRPr="006124EA" w14:paraId="6DAB7152" w14:textId="77777777" w:rsidTr="007D52C7">
        <w:trPr>
          <w:trHeight w:val="134"/>
          <w:jc w:val="right"/>
        </w:trPr>
        <w:tc>
          <w:tcPr>
            <w:tcW w:w="4079" w:type="pct"/>
          </w:tcPr>
          <w:p w14:paraId="7A5A4F28" w14:textId="77777777" w:rsidR="001C5A4F" w:rsidRPr="00EC0F36" w:rsidRDefault="001C5A4F" w:rsidP="007D52C7">
            <w:pPr>
              <w:tabs>
                <w:tab w:val="left" w:pos="3150"/>
              </w:tabs>
              <w:spacing w:line="360" w:lineRule="auto"/>
              <w:jc w:val="both"/>
              <w:rPr>
                <w:rFonts w:ascii="Helvetica" w:hAnsi="Helvetica" w:cs="Helvetica"/>
                <w:b/>
                <w:bCs/>
              </w:rPr>
            </w:pPr>
            <w:r w:rsidRPr="00EC0F36">
              <w:rPr>
                <w:rFonts w:ascii="Helvetica" w:hAnsi="Helvetica" w:cs="Helvetica"/>
                <w:b/>
                <w:bCs/>
              </w:rPr>
              <w:t>Total Tax</w:t>
            </w:r>
            <w:r>
              <w:rPr>
                <w:rFonts w:ascii="Helvetica" w:hAnsi="Helvetica" w:cs="Helvetica"/>
                <w:b/>
                <w:bCs/>
              </w:rPr>
              <w:t xml:space="preserve"> Due on Sale</w:t>
            </w:r>
          </w:p>
        </w:tc>
        <w:tc>
          <w:tcPr>
            <w:tcW w:w="921" w:type="pct"/>
            <w:tcBorders>
              <w:top w:val="single" w:sz="4" w:space="0" w:color="auto"/>
            </w:tcBorders>
          </w:tcPr>
          <w:p w14:paraId="759B9B8D" w14:textId="77777777" w:rsidR="001C5A4F" w:rsidRPr="006124EA" w:rsidRDefault="001C5A4F" w:rsidP="007D52C7">
            <w:pPr>
              <w:spacing w:line="360" w:lineRule="auto"/>
              <w:jc w:val="both"/>
              <w:rPr>
                <w:rFonts w:ascii="Helvetica" w:hAnsi="Helvetica" w:cs="Helvetica"/>
                <w:b/>
                <w:bCs/>
                <w:sz w:val="18"/>
                <w:szCs w:val="18"/>
              </w:rPr>
            </w:pPr>
            <w:r w:rsidRPr="006124EA">
              <w:rPr>
                <w:rFonts w:ascii="Helvetica" w:hAnsi="Helvetica" w:cs="Helvetica"/>
                <w:b/>
                <w:bCs/>
                <w:sz w:val="18"/>
                <w:szCs w:val="18"/>
              </w:rPr>
              <w:fldChar w:fldCharType="begin"/>
            </w:r>
            <w:r w:rsidRPr="006124EA">
              <w:rPr>
                <w:rFonts w:ascii="Helvetica" w:hAnsi="Helvetica" w:cs="Helvetica"/>
                <w:b/>
                <w:bCs/>
                <w:sz w:val="18"/>
                <w:szCs w:val="18"/>
              </w:rPr>
              <w:instrText xml:space="preserve"> MERGEFIELD  TTX  \* MERGEFORMAT </w:instrText>
            </w:r>
            <w:r w:rsidRPr="006124EA">
              <w:rPr>
                <w:rFonts w:ascii="Helvetica" w:hAnsi="Helvetica" w:cs="Helvetica"/>
                <w:b/>
                <w:bCs/>
                <w:sz w:val="18"/>
                <w:szCs w:val="18"/>
              </w:rPr>
              <w:fldChar w:fldCharType="separate"/>
            </w:r>
            <w:r w:rsidRPr="006124EA">
              <w:rPr>
                <w:rFonts w:ascii="Helvetica" w:hAnsi="Helvetica" w:cs="Helvetica"/>
                <w:b/>
                <w:bCs/>
                <w:noProof/>
                <w:sz w:val="18"/>
                <w:szCs w:val="18"/>
              </w:rPr>
              <w:t>«TTX»</w:t>
            </w:r>
            <w:r w:rsidRPr="006124EA">
              <w:rPr>
                <w:rFonts w:ascii="Helvetica" w:hAnsi="Helvetica" w:cs="Helvetica"/>
                <w:b/>
                <w:bCs/>
                <w:sz w:val="18"/>
                <w:szCs w:val="18"/>
              </w:rPr>
              <w:fldChar w:fldCharType="end"/>
            </w:r>
          </w:p>
        </w:tc>
      </w:tr>
    </w:tbl>
    <w:p w14:paraId="450791F9" w14:textId="77777777" w:rsidR="001C5A4F" w:rsidRPr="002C07D3" w:rsidRDefault="001C5A4F" w:rsidP="00E562D4">
      <w:pPr>
        <w:spacing w:line="360" w:lineRule="auto"/>
        <w:jc w:val="both"/>
        <w:rPr>
          <w:rFonts w:ascii="Helvetica" w:eastAsia="Times New Roman" w:hAnsi="Helvetica" w:cs="Helvetica"/>
          <w:sz w:val="24"/>
          <w:szCs w:val="24"/>
        </w:rPr>
      </w:pPr>
    </w:p>
    <w:sectPr w:rsidR="001C5A4F" w:rsidRPr="002C07D3" w:rsidSect="00B06AB6">
      <w:footerReference w:type="default" r:id="rId16"/>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5ABD9" w14:textId="77777777" w:rsidR="0066467F" w:rsidRDefault="0066467F" w:rsidP="002D053E">
      <w:pPr>
        <w:spacing w:after="0" w:line="240" w:lineRule="auto"/>
      </w:pPr>
      <w:r>
        <w:separator/>
      </w:r>
    </w:p>
  </w:endnote>
  <w:endnote w:type="continuationSeparator" w:id="0">
    <w:p w14:paraId="29AE8812" w14:textId="77777777" w:rsidR="0066467F" w:rsidRDefault="0066467F"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9F9C7" w14:textId="77777777" w:rsidR="00B0349A" w:rsidRDefault="00B03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84E2A" w14:textId="6EEAAE46" w:rsidR="000547DF" w:rsidRPr="00174302" w:rsidRDefault="00174302" w:rsidP="00174302">
    <w:pPr>
      <w:pStyle w:val="Footer"/>
      <w:tabs>
        <w:tab w:val="left" w:pos="3443"/>
      </w:tabs>
      <w:rPr>
        <w:rFonts w:asciiTheme="majorBidi" w:hAnsiTheme="majorBidi" w:cstheme="majorBidi"/>
        <w:color w:val="7F7F7F" w:themeColor="text1" w:themeTint="80"/>
      </w:rPr>
    </w:pPr>
    <w:r>
      <w:rPr>
        <w:rFonts w:asciiTheme="majorBidi" w:hAnsiTheme="majorBidi" w:cstheme="majorBidi"/>
        <w:color w:val="7F7F7F" w:themeColor="text1" w:themeTint="80"/>
      </w:rPr>
      <w:tab/>
    </w:r>
    <w:r>
      <w:rPr>
        <w:rFonts w:asciiTheme="majorBidi" w:hAnsiTheme="majorBidi" w:cstheme="majorBidi"/>
        <w:color w:val="7F7F7F" w:themeColor="text1" w:themeTint="80"/>
      </w:rPr>
      <w:tab/>
    </w:r>
    <w:r>
      <w:rPr>
        <w:rFonts w:asciiTheme="majorBidi" w:hAnsiTheme="majorBidi" w:cstheme="majorBidi"/>
        <w:color w:val="7F7F7F" w:themeColor="text1" w:themeTint="80"/>
      </w:rPr>
      <w:tab/>
    </w:r>
    <w:r w:rsidR="000547DF" w:rsidRPr="00174302">
      <w:rPr>
        <w:rFonts w:asciiTheme="majorBidi" w:hAnsiTheme="majorBidi" w:cstheme="majorBidi"/>
        <w:color w:val="7F7F7F" w:themeColor="text1" w:themeTint="80"/>
      </w:rPr>
      <w:fldChar w:fldCharType="begin"/>
    </w:r>
    <w:r w:rsidR="000547DF" w:rsidRPr="00174302">
      <w:rPr>
        <w:rFonts w:asciiTheme="majorBidi" w:hAnsiTheme="majorBidi" w:cstheme="majorBidi"/>
        <w:color w:val="7F7F7F" w:themeColor="text1" w:themeTint="80"/>
      </w:rPr>
      <w:instrText xml:space="preserve"> MERGEFIELD  PG1  \* MERGEFORMAT </w:instrText>
    </w:r>
    <w:r w:rsidR="000547DF" w:rsidRPr="00174302">
      <w:rPr>
        <w:rFonts w:asciiTheme="majorBidi" w:hAnsiTheme="majorBidi" w:cstheme="majorBidi"/>
        <w:color w:val="7F7F7F" w:themeColor="text1" w:themeTint="80"/>
      </w:rPr>
      <w:fldChar w:fldCharType="separate"/>
    </w:r>
    <w:r w:rsidR="000547DF" w:rsidRPr="00174302">
      <w:rPr>
        <w:rFonts w:asciiTheme="majorBidi" w:hAnsiTheme="majorBidi" w:cstheme="majorBidi"/>
        <w:noProof/>
        <w:color w:val="7F7F7F" w:themeColor="text1" w:themeTint="80"/>
      </w:rPr>
      <w:t>«PG1»</w:t>
    </w:r>
    <w:r w:rsidR="000547DF" w:rsidRPr="00174302">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C8B5" w14:textId="77777777" w:rsidR="00B0349A" w:rsidRDefault="00B034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FC496" w14:textId="7B696F28" w:rsidR="000547DF" w:rsidRPr="00174302" w:rsidRDefault="000547DF" w:rsidP="00174302">
    <w:pPr>
      <w:pStyle w:val="Footer"/>
      <w:jc w:val="right"/>
      <w:rPr>
        <w:rFonts w:asciiTheme="majorBidi" w:hAnsiTheme="majorBidi" w:cstheme="majorBidi"/>
        <w:color w:val="7F7F7F" w:themeColor="text1" w:themeTint="80"/>
      </w:rPr>
    </w:pPr>
    <w:r w:rsidRPr="00174302">
      <w:rPr>
        <w:rFonts w:asciiTheme="majorBidi" w:hAnsiTheme="majorBidi" w:cstheme="majorBidi"/>
        <w:color w:val="7F7F7F" w:themeColor="text1" w:themeTint="80"/>
      </w:rPr>
      <w:fldChar w:fldCharType="begin"/>
    </w:r>
    <w:r w:rsidRPr="00174302">
      <w:rPr>
        <w:rFonts w:asciiTheme="majorBidi" w:hAnsiTheme="majorBidi" w:cstheme="majorBidi"/>
        <w:color w:val="7F7F7F" w:themeColor="text1" w:themeTint="80"/>
      </w:rPr>
      <w:instrText xml:space="preserve"> MERGEFIELD  PG2  \* MERGEFORMAT </w:instrText>
    </w:r>
    <w:r w:rsidRPr="00174302">
      <w:rPr>
        <w:rFonts w:asciiTheme="majorBidi" w:hAnsiTheme="majorBidi" w:cstheme="majorBidi"/>
        <w:color w:val="7F7F7F" w:themeColor="text1" w:themeTint="80"/>
      </w:rPr>
      <w:fldChar w:fldCharType="separate"/>
    </w:r>
    <w:r w:rsidRPr="00174302">
      <w:rPr>
        <w:rFonts w:asciiTheme="majorBidi" w:hAnsiTheme="majorBidi" w:cstheme="majorBidi"/>
        <w:noProof/>
        <w:color w:val="7F7F7F" w:themeColor="text1" w:themeTint="80"/>
      </w:rPr>
      <w:t>«PG2»</w:t>
    </w:r>
    <w:r w:rsidRPr="00174302">
      <w:rPr>
        <w:rFonts w:asciiTheme="majorBidi" w:hAnsiTheme="majorBidi" w:cstheme="majorBidi"/>
        <w:color w:val="7F7F7F" w:themeColor="text1" w:themeTint="8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5C550" w14:textId="1796E676" w:rsidR="000547DF" w:rsidRPr="00B06AB6" w:rsidRDefault="00B06AB6" w:rsidP="00B06AB6">
    <w:pPr>
      <w:pStyle w:val="Footer"/>
      <w:jc w:val="right"/>
      <w:rPr>
        <w:color w:val="7F7F7F" w:themeColor="text1" w:themeTint="80"/>
      </w:rPr>
    </w:pPr>
    <w:r w:rsidRPr="00B06AB6">
      <w:rPr>
        <w:rFonts w:asciiTheme="majorBidi" w:hAnsiTheme="majorBidi" w:cstheme="majorBidi"/>
        <w:color w:val="7F7F7F" w:themeColor="text1" w:themeTint="80"/>
      </w:rPr>
      <w:fldChar w:fldCharType="begin"/>
    </w:r>
    <w:r w:rsidRPr="00B06AB6">
      <w:rPr>
        <w:rFonts w:asciiTheme="majorBidi" w:hAnsiTheme="majorBidi" w:cstheme="majorBidi"/>
        <w:color w:val="7F7F7F" w:themeColor="text1" w:themeTint="80"/>
      </w:rPr>
      <w:instrText xml:space="preserve"> MERGEFIELD  PG3  \* MERGEFORMAT </w:instrText>
    </w:r>
    <w:r w:rsidRPr="00B06AB6">
      <w:rPr>
        <w:rFonts w:asciiTheme="majorBidi" w:hAnsiTheme="majorBidi" w:cstheme="majorBidi"/>
        <w:color w:val="7F7F7F" w:themeColor="text1" w:themeTint="80"/>
      </w:rPr>
      <w:fldChar w:fldCharType="separate"/>
    </w:r>
    <w:r w:rsidRPr="00B06AB6">
      <w:rPr>
        <w:rFonts w:asciiTheme="majorBidi" w:hAnsiTheme="majorBidi" w:cstheme="majorBidi"/>
        <w:noProof/>
        <w:color w:val="7F7F7F" w:themeColor="text1" w:themeTint="80"/>
      </w:rPr>
      <w:t>«PG3»</w:t>
    </w:r>
    <w:r w:rsidRPr="00B06AB6">
      <w:rPr>
        <w:rFonts w:asciiTheme="majorBidi" w:hAnsiTheme="majorBidi" w:cstheme="majorBidi"/>
        <w:color w:val="7F7F7F" w:themeColor="text1" w:themeTint="8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C3CA" w14:textId="77777777" w:rsidR="00B06AB6" w:rsidRPr="001532AD" w:rsidRDefault="00B06AB6" w:rsidP="001532AD">
    <w:pPr>
      <w:pStyle w:val="Footer"/>
      <w:jc w:val="right"/>
      <w:rPr>
        <w:rFonts w:asciiTheme="majorBidi" w:hAnsiTheme="majorBidi" w:cstheme="majorBidi"/>
        <w:color w:val="7F7F7F" w:themeColor="text1" w:themeTint="80"/>
      </w:rPr>
    </w:pPr>
    <w:r w:rsidRPr="001532AD">
      <w:rPr>
        <w:rFonts w:asciiTheme="majorBidi" w:hAnsiTheme="majorBidi" w:cstheme="majorBidi"/>
        <w:color w:val="7F7F7F" w:themeColor="text1" w:themeTint="80"/>
      </w:rPr>
      <w:fldChar w:fldCharType="begin"/>
    </w:r>
    <w:r w:rsidRPr="001532AD">
      <w:rPr>
        <w:rFonts w:asciiTheme="majorBidi" w:hAnsiTheme="majorBidi" w:cstheme="majorBidi"/>
        <w:color w:val="7F7F7F" w:themeColor="text1" w:themeTint="80"/>
      </w:rPr>
      <w:instrText xml:space="preserve"> MERGEFIELD  PG4  \* MERGEFORMAT </w:instrText>
    </w:r>
    <w:r w:rsidRPr="001532AD">
      <w:rPr>
        <w:rFonts w:asciiTheme="majorBidi" w:hAnsiTheme="majorBidi" w:cstheme="majorBidi"/>
        <w:color w:val="7F7F7F" w:themeColor="text1" w:themeTint="80"/>
      </w:rPr>
      <w:fldChar w:fldCharType="separate"/>
    </w:r>
    <w:r w:rsidRPr="001532AD">
      <w:rPr>
        <w:rFonts w:asciiTheme="majorBidi" w:hAnsiTheme="majorBidi" w:cstheme="majorBidi"/>
        <w:noProof/>
        <w:color w:val="7F7F7F" w:themeColor="text1" w:themeTint="80"/>
      </w:rPr>
      <w:t>«PG4»</w:t>
    </w:r>
    <w:r w:rsidRPr="001532AD">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AE88B" w14:textId="77777777" w:rsidR="0066467F" w:rsidRDefault="0066467F" w:rsidP="002D053E">
      <w:pPr>
        <w:spacing w:after="0" w:line="240" w:lineRule="auto"/>
      </w:pPr>
      <w:r>
        <w:separator/>
      </w:r>
    </w:p>
  </w:footnote>
  <w:footnote w:type="continuationSeparator" w:id="0">
    <w:p w14:paraId="504486F5" w14:textId="77777777" w:rsidR="0066467F" w:rsidRDefault="0066467F" w:rsidP="002D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801F0" w14:textId="77777777" w:rsidR="00B0349A" w:rsidRDefault="00B0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3B477" w14:textId="77777777" w:rsidR="00B0349A" w:rsidRDefault="00B0349A" w:rsidP="00B0349A">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55F9CA90" wp14:editId="6ADCE175">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31DF1372" w14:textId="77777777" w:rsidR="00B0349A" w:rsidRDefault="00B0349A" w:rsidP="00B0349A">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00E4" w14:textId="77777777" w:rsidR="00B0349A" w:rsidRDefault="00B03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3F24"/>
    <w:rsid w:val="00004070"/>
    <w:rsid w:val="00016644"/>
    <w:rsid w:val="00020AFB"/>
    <w:rsid w:val="00026D4F"/>
    <w:rsid w:val="00027792"/>
    <w:rsid w:val="00030ADE"/>
    <w:rsid w:val="000327AB"/>
    <w:rsid w:val="00034A06"/>
    <w:rsid w:val="00037025"/>
    <w:rsid w:val="000429F2"/>
    <w:rsid w:val="00045E34"/>
    <w:rsid w:val="00050428"/>
    <w:rsid w:val="00051D19"/>
    <w:rsid w:val="00051DA2"/>
    <w:rsid w:val="00052C11"/>
    <w:rsid w:val="00052D6B"/>
    <w:rsid w:val="000547DF"/>
    <w:rsid w:val="00054B8F"/>
    <w:rsid w:val="00055D5E"/>
    <w:rsid w:val="0006350B"/>
    <w:rsid w:val="000642C7"/>
    <w:rsid w:val="0006434C"/>
    <w:rsid w:val="00065C51"/>
    <w:rsid w:val="00067658"/>
    <w:rsid w:val="00076A80"/>
    <w:rsid w:val="000807D4"/>
    <w:rsid w:val="00081D85"/>
    <w:rsid w:val="000833D2"/>
    <w:rsid w:val="00085F72"/>
    <w:rsid w:val="00086713"/>
    <w:rsid w:val="000867C9"/>
    <w:rsid w:val="00087717"/>
    <w:rsid w:val="000928A0"/>
    <w:rsid w:val="000A1BA0"/>
    <w:rsid w:val="000A301C"/>
    <w:rsid w:val="000A4FEC"/>
    <w:rsid w:val="000A5240"/>
    <w:rsid w:val="000B28B8"/>
    <w:rsid w:val="000C637B"/>
    <w:rsid w:val="000C6810"/>
    <w:rsid w:val="000C715A"/>
    <w:rsid w:val="000D0574"/>
    <w:rsid w:val="000D419B"/>
    <w:rsid w:val="000D48A5"/>
    <w:rsid w:val="000D4B1E"/>
    <w:rsid w:val="000D6319"/>
    <w:rsid w:val="000D6F6D"/>
    <w:rsid w:val="000E04F0"/>
    <w:rsid w:val="000E0B99"/>
    <w:rsid w:val="000E42E3"/>
    <w:rsid w:val="000E5FCA"/>
    <w:rsid w:val="000F2751"/>
    <w:rsid w:val="000F61B2"/>
    <w:rsid w:val="000F69D1"/>
    <w:rsid w:val="000F743C"/>
    <w:rsid w:val="00100A53"/>
    <w:rsid w:val="00102CA4"/>
    <w:rsid w:val="00103FA1"/>
    <w:rsid w:val="0010400C"/>
    <w:rsid w:val="00110F2C"/>
    <w:rsid w:val="001147E2"/>
    <w:rsid w:val="0011753F"/>
    <w:rsid w:val="0012058D"/>
    <w:rsid w:val="001209E9"/>
    <w:rsid w:val="001221B6"/>
    <w:rsid w:val="00125781"/>
    <w:rsid w:val="00125840"/>
    <w:rsid w:val="00127566"/>
    <w:rsid w:val="001330E4"/>
    <w:rsid w:val="001371A0"/>
    <w:rsid w:val="001502A6"/>
    <w:rsid w:val="0015107C"/>
    <w:rsid w:val="001518DD"/>
    <w:rsid w:val="00151DA5"/>
    <w:rsid w:val="00151E4A"/>
    <w:rsid w:val="001532AD"/>
    <w:rsid w:val="00154339"/>
    <w:rsid w:val="00154FAF"/>
    <w:rsid w:val="00155104"/>
    <w:rsid w:val="00155F71"/>
    <w:rsid w:val="001563F9"/>
    <w:rsid w:val="001732BD"/>
    <w:rsid w:val="001739E9"/>
    <w:rsid w:val="00174302"/>
    <w:rsid w:val="0018209D"/>
    <w:rsid w:val="00183B86"/>
    <w:rsid w:val="0018442B"/>
    <w:rsid w:val="0018626F"/>
    <w:rsid w:val="0018690A"/>
    <w:rsid w:val="001871F0"/>
    <w:rsid w:val="001904A8"/>
    <w:rsid w:val="00193C41"/>
    <w:rsid w:val="001A1576"/>
    <w:rsid w:val="001B2014"/>
    <w:rsid w:val="001B2731"/>
    <w:rsid w:val="001B2A25"/>
    <w:rsid w:val="001B2E99"/>
    <w:rsid w:val="001B656E"/>
    <w:rsid w:val="001C5A4F"/>
    <w:rsid w:val="001D143B"/>
    <w:rsid w:val="001D5DD9"/>
    <w:rsid w:val="001D5F4E"/>
    <w:rsid w:val="001E0FD8"/>
    <w:rsid w:val="001E1947"/>
    <w:rsid w:val="001E1BAF"/>
    <w:rsid w:val="001E223E"/>
    <w:rsid w:val="001E36FC"/>
    <w:rsid w:val="001E71E7"/>
    <w:rsid w:val="001F08C9"/>
    <w:rsid w:val="001F2513"/>
    <w:rsid w:val="001F53D4"/>
    <w:rsid w:val="00200B26"/>
    <w:rsid w:val="00203D3D"/>
    <w:rsid w:val="00203F4B"/>
    <w:rsid w:val="00204A04"/>
    <w:rsid w:val="00204D56"/>
    <w:rsid w:val="002110C1"/>
    <w:rsid w:val="00213B95"/>
    <w:rsid w:val="002154C2"/>
    <w:rsid w:val="00226565"/>
    <w:rsid w:val="00226C4F"/>
    <w:rsid w:val="00227DED"/>
    <w:rsid w:val="0023670F"/>
    <w:rsid w:val="00243C56"/>
    <w:rsid w:val="00247410"/>
    <w:rsid w:val="0024757E"/>
    <w:rsid w:val="00247DB6"/>
    <w:rsid w:val="00251EC7"/>
    <w:rsid w:val="002520A6"/>
    <w:rsid w:val="00255536"/>
    <w:rsid w:val="00260348"/>
    <w:rsid w:val="002677E8"/>
    <w:rsid w:val="0027119F"/>
    <w:rsid w:val="0027197C"/>
    <w:rsid w:val="002734BC"/>
    <w:rsid w:val="00275105"/>
    <w:rsid w:val="0027570E"/>
    <w:rsid w:val="00276C5E"/>
    <w:rsid w:val="00276E78"/>
    <w:rsid w:val="002773F3"/>
    <w:rsid w:val="00281F86"/>
    <w:rsid w:val="0028558C"/>
    <w:rsid w:val="002974BB"/>
    <w:rsid w:val="002A147F"/>
    <w:rsid w:val="002A199B"/>
    <w:rsid w:val="002A4344"/>
    <w:rsid w:val="002A47AA"/>
    <w:rsid w:val="002A7C77"/>
    <w:rsid w:val="002B5477"/>
    <w:rsid w:val="002C07D3"/>
    <w:rsid w:val="002C0EF1"/>
    <w:rsid w:val="002C0FEA"/>
    <w:rsid w:val="002C161E"/>
    <w:rsid w:val="002C3C1E"/>
    <w:rsid w:val="002C549E"/>
    <w:rsid w:val="002D053E"/>
    <w:rsid w:val="002D0EF5"/>
    <w:rsid w:val="002D0FB6"/>
    <w:rsid w:val="002D30FE"/>
    <w:rsid w:val="002D7A5E"/>
    <w:rsid w:val="002E122D"/>
    <w:rsid w:val="002E6740"/>
    <w:rsid w:val="002F76F9"/>
    <w:rsid w:val="002F78F4"/>
    <w:rsid w:val="00304226"/>
    <w:rsid w:val="00307BDF"/>
    <w:rsid w:val="00311920"/>
    <w:rsid w:val="00316F47"/>
    <w:rsid w:val="0032417D"/>
    <w:rsid w:val="00324FE1"/>
    <w:rsid w:val="003263F2"/>
    <w:rsid w:val="0033297B"/>
    <w:rsid w:val="00334DFD"/>
    <w:rsid w:val="00336550"/>
    <w:rsid w:val="00336CD7"/>
    <w:rsid w:val="0034300F"/>
    <w:rsid w:val="003431BC"/>
    <w:rsid w:val="00343AA0"/>
    <w:rsid w:val="003440BE"/>
    <w:rsid w:val="003445DA"/>
    <w:rsid w:val="00347812"/>
    <w:rsid w:val="003503B9"/>
    <w:rsid w:val="003528BA"/>
    <w:rsid w:val="00353D9E"/>
    <w:rsid w:val="00356575"/>
    <w:rsid w:val="0035787A"/>
    <w:rsid w:val="00357DD3"/>
    <w:rsid w:val="00372F3E"/>
    <w:rsid w:val="00376904"/>
    <w:rsid w:val="00380366"/>
    <w:rsid w:val="00381598"/>
    <w:rsid w:val="00391FA4"/>
    <w:rsid w:val="003940C3"/>
    <w:rsid w:val="0039427D"/>
    <w:rsid w:val="003A11F7"/>
    <w:rsid w:val="003A6C5F"/>
    <w:rsid w:val="003B1445"/>
    <w:rsid w:val="003B3074"/>
    <w:rsid w:val="003B6728"/>
    <w:rsid w:val="003C03D0"/>
    <w:rsid w:val="003C1046"/>
    <w:rsid w:val="003C3291"/>
    <w:rsid w:val="003C5E60"/>
    <w:rsid w:val="003D2EF9"/>
    <w:rsid w:val="003D594C"/>
    <w:rsid w:val="003E0E06"/>
    <w:rsid w:val="003E1ACE"/>
    <w:rsid w:val="003E1F8E"/>
    <w:rsid w:val="003E4DB1"/>
    <w:rsid w:val="003E65FB"/>
    <w:rsid w:val="003E673B"/>
    <w:rsid w:val="003F1DF5"/>
    <w:rsid w:val="003F7BFF"/>
    <w:rsid w:val="00401F4C"/>
    <w:rsid w:val="00402FBE"/>
    <w:rsid w:val="00403776"/>
    <w:rsid w:val="00403A36"/>
    <w:rsid w:val="00404D34"/>
    <w:rsid w:val="004104B9"/>
    <w:rsid w:val="00410877"/>
    <w:rsid w:val="00410D01"/>
    <w:rsid w:val="00415081"/>
    <w:rsid w:val="00417813"/>
    <w:rsid w:val="00417C2B"/>
    <w:rsid w:val="00422073"/>
    <w:rsid w:val="00430D07"/>
    <w:rsid w:val="004375AE"/>
    <w:rsid w:val="00440262"/>
    <w:rsid w:val="00441A69"/>
    <w:rsid w:val="004430ED"/>
    <w:rsid w:val="0044329E"/>
    <w:rsid w:val="00443FE2"/>
    <w:rsid w:val="004524F7"/>
    <w:rsid w:val="00454EDD"/>
    <w:rsid w:val="00455A99"/>
    <w:rsid w:val="0046207D"/>
    <w:rsid w:val="004670D3"/>
    <w:rsid w:val="004814AA"/>
    <w:rsid w:val="004848AA"/>
    <w:rsid w:val="004872F9"/>
    <w:rsid w:val="0049596B"/>
    <w:rsid w:val="0049722B"/>
    <w:rsid w:val="004A015C"/>
    <w:rsid w:val="004A1158"/>
    <w:rsid w:val="004A4A1A"/>
    <w:rsid w:val="004A5A36"/>
    <w:rsid w:val="004B1AF5"/>
    <w:rsid w:val="004B4DD3"/>
    <w:rsid w:val="004B6C36"/>
    <w:rsid w:val="004C3EEA"/>
    <w:rsid w:val="004C4C63"/>
    <w:rsid w:val="004C5DE8"/>
    <w:rsid w:val="004C6B6D"/>
    <w:rsid w:val="004C76AA"/>
    <w:rsid w:val="004C7ED1"/>
    <w:rsid w:val="004D11E4"/>
    <w:rsid w:val="004D262C"/>
    <w:rsid w:val="004D2771"/>
    <w:rsid w:val="004E0448"/>
    <w:rsid w:val="004E09C5"/>
    <w:rsid w:val="004E1427"/>
    <w:rsid w:val="004E4D9E"/>
    <w:rsid w:val="004E6B99"/>
    <w:rsid w:val="004F63E5"/>
    <w:rsid w:val="00501656"/>
    <w:rsid w:val="00502E38"/>
    <w:rsid w:val="0050403E"/>
    <w:rsid w:val="00504DD6"/>
    <w:rsid w:val="00506540"/>
    <w:rsid w:val="00507898"/>
    <w:rsid w:val="00511474"/>
    <w:rsid w:val="00520EAE"/>
    <w:rsid w:val="00534ACA"/>
    <w:rsid w:val="00540001"/>
    <w:rsid w:val="00541D85"/>
    <w:rsid w:val="00541FD2"/>
    <w:rsid w:val="005451CA"/>
    <w:rsid w:val="00545DDD"/>
    <w:rsid w:val="00547DAF"/>
    <w:rsid w:val="00552B63"/>
    <w:rsid w:val="005577F9"/>
    <w:rsid w:val="00560967"/>
    <w:rsid w:val="00563454"/>
    <w:rsid w:val="00564DFE"/>
    <w:rsid w:val="00566C32"/>
    <w:rsid w:val="005674EB"/>
    <w:rsid w:val="00567B4F"/>
    <w:rsid w:val="00573F3C"/>
    <w:rsid w:val="00577D5E"/>
    <w:rsid w:val="00587242"/>
    <w:rsid w:val="0059301D"/>
    <w:rsid w:val="005A2753"/>
    <w:rsid w:val="005B2AAA"/>
    <w:rsid w:val="005B4601"/>
    <w:rsid w:val="005B6578"/>
    <w:rsid w:val="005B7956"/>
    <w:rsid w:val="005C530E"/>
    <w:rsid w:val="005C598C"/>
    <w:rsid w:val="005C6438"/>
    <w:rsid w:val="005C7C5B"/>
    <w:rsid w:val="005C7D30"/>
    <w:rsid w:val="005D0048"/>
    <w:rsid w:val="005D6966"/>
    <w:rsid w:val="005D78D1"/>
    <w:rsid w:val="005E1AEB"/>
    <w:rsid w:val="005E47E3"/>
    <w:rsid w:val="005F2255"/>
    <w:rsid w:val="005F2D26"/>
    <w:rsid w:val="005F4DCB"/>
    <w:rsid w:val="005F7C93"/>
    <w:rsid w:val="005F7F2A"/>
    <w:rsid w:val="00600E95"/>
    <w:rsid w:val="00601BB1"/>
    <w:rsid w:val="00602400"/>
    <w:rsid w:val="00602536"/>
    <w:rsid w:val="006058AA"/>
    <w:rsid w:val="00605D8C"/>
    <w:rsid w:val="006105AD"/>
    <w:rsid w:val="006144F8"/>
    <w:rsid w:val="006161C9"/>
    <w:rsid w:val="00617EDD"/>
    <w:rsid w:val="0062306C"/>
    <w:rsid w:val="00624F00"/>
    <w:rsid w:val="006314C3"/>
    <w:rsid w:val="00636AB2"/>
    <w:rsid w:val="00636BC0"/>
    <w:rsid w:val="00646AD9"/>
    <w:rsid w:val="00647F94"/>
    <w:rsid w:val="006529C6"/>
    <w:rsid w:val="00653F3D"/>
    <w:rsid w:val="006576F8"/>
    <w:rsid w:val="006600FC"/>
    <w:rsid w:val="00663C67"/>
    <w:rsid w:val="0066467F"/>
    <w:rsid w:val="0066497A"/>
    <w:rsid w:val="006675FA"/>
    <w:rsid w:val="006678A4"/>
    <w:rsid w:val="00675369"/>
    <w:rsid w:val="00675770"/>
    <w:rsid w:val="00675D2A"/>
    <w:rsid w:val="0068378E"/>
    <w:rsid w:val="00692981"/>
    <w:rsid w:val="006933B2"/>
    <w:rsid w:val="00693D32"/>
    <w:rsid w:val="006A31C9"/>
    <w:rsid w:val="006A393E"/>
    <w:rsid w:val="006A6061"/>
    <w:rsid w:val="006A7E2C"/>
    <w:rsid w:val="006A7F68"/>
    <w:rsid w:val="006B08B3"/>
    <w:rsid w:val="006B2653"/>
    <w:rsid w:val="006B279B"/>
    <w:rsid w:val="006B5F13"/>
    <w:rsid w:val="006C00E8"/>
    <w:rsid w:val="006C11BF"/>
    <w:rsid w:val="006C3EE9"/>
    <w:rsid w:val="006D439E"/>
    <w:rsid w:val="006D57E9"/>
    <w:rsid w:val="006D6B36"/>
    <w:rsid w:val="006D6CF0"/>
    <w:rsid w:val="006E001B"/>
    <w:rsid w:val="006E0C82"/>
    <w:rsid w:val="006E5AF6"/>
    <w:rsid w:val="006E5FFE"/>
    <w:rsid w:val="006E7094"/>
    <w:rsid w:val="006F1F71"/>
    <w:rsid w:val="006F2EB0"/>
    <w:rsid w:val="006F2F41"/>
    <w:rsid w:val="006F4C0A"/>
    <w:rsid w:val="006F6B99"/>
    <w:rsid w:val="006F6E69"/>
    <w:rsid w:val="006F788B"/>
    <w:rsid w:val="00703E7A"/>
    <w:rsid w:val="00712141"/>
    <w:rsid w:val="00715E49"/>
    <w:rsid w:val="007201A9"/>
    <w:rsid w:val="007201B2"/>
    <w:rsid w:val="00720CD8"/>
    <w:rsid w:val="00724536"/>
    <w:rsid w:val="00725EFF"/>
    <w:rsid w:val="00726A13"/>
    <w:rsid w:val="00731464"/>
    <w:rsid w:val="0073513E"/>
    <w:rsid w:val="00742267"/>
    <w:rsid w:val="00747E96"/>
    <w:rsid w:val="00753829"/>
    <w:rsid w:val="0075491C"/>
    <w:rsid w:val="00754FA4"/>
    <w:rsid w:val="00755421"/>
    <w:rsid w:val="00755B74"/>
    <w:rsid w:val="00761387"/>
    <w:rsid w:val="00772271"/>
    <w:rsid w:val="007726AC"/>
    <w:rsid w:val="0077649E"/>
    <w:rsid w:val="00783834"/>
    <w:rsid w:val="00784910"/>
    <w:rsid w:val="00785A58"/>
    <w:rsid w:val="00787F09"/>
    <w:rsid w:val="00790270"/>
    <w:rsid w:val="00794847"/>
    <w:rsid w:val="007A36D3"/>
    <w:rsid w:val="007A3FD7"/>
    <w:rsid w:val="007A657F"/>
    <w:rsid w:val="007A76A5"/>
    <w:rsid w:val="007B2FB7"/>
    <w:rsid w:val="007B6EF7"/>
    <w:rsid w:val="007B74B4"/>
    <w:rsid w:val="007B79E6"/>
    <w:rsid w:val="007B7B2B"/>
    <w:rsid w:val="007C12BC"/>
    <w:rsid w:val="007C2E5E"/>
    <w:rsid w:val="007D1282"/>
    <w:rsid w:val="007D459F"/>
    <w:rsid w:val="007D482B"/>
    <w:rsid w:val="007E10FC"/>
    <w:rsid w:val="007E683B"/>
    <w:rsid w:val="007E6B8C"/>
    <w:rsid w:val="007F0069"/>
    <w:rsid w:val="007F0596"/>
    <w:rsid w:val="007F3C35"/>
    <w:rsid w:val="007F564A"/>
    <w:rsid w:val="007F7AA7"/>
    <w:rsid w:val="008011B4"/>
    <w:rsid w:val="00803E8D"/>
    <w:rsid w:val="00804303"/>
    <w:rsid w:val="008107DB"/>
    <w:rsid w:val="00810D83"/>
    <w:rsid w:val="008118DE"/>
    <w:rsid w:val="00811C43"/>
    <w:rsid w:val="0081371A"/>
    <w:rsid w:val="00813F60"/>
    <w:rsid w:val="008147D4"/>
    <w:rsid w:val="00814941"/>
    <w:rsid w:val="00817D6F"/>
    <w:rsid w:val="008231CE"/>
    <w:rsid w:val="008239FC"/>
    <w:rsid w:val="00825A0F"/>
    <w:rsid w:val="0083349F"/>
    <w:rsid w:val="00834CEC"/>
    <w:rsid w:val="00842C04"/>
    <w:rsid w:val="00843C46"/>
    <w:rsid w:val="008533F9"/>
    <w:rsid w:val="00860B72"/>
    <w:rsid w:val="008670DE"/>
    <w:rsid w:val="008706D6"/>
    <w:rsid w:val="00871951"/>
    <w:rsid w:val="008737B2"/>
    <w:rsid w:val="00876869"/>
    <w:rsid w:val="0087787A"/>
    <w:rsid w:val="00880C6D"/>
    <w:rsid w:val="0088100A"/>
    <w:rsid w:val="0088275D"/>
    <w:rsid w:val="00885625"/>
    <w:rsid w:val="008865D2"/>
    <w:rsid w:val="0089093C"/>
    <w:rsid w:val="00894A48"/>
    <w:rsid w:val="00895BB2"/>
    <w:rsid w:val="0089732C"/>
    <w:rsid w:val="008A51FC"/>
    <w:rsid w:val="008A52F0"/>
    <w:rsid w:val="008B03E8"/>
    <w:rsid w:val="008B0B81"/>
    <w:rsid w:val="008B4F59"/>
    <w:rsid w:val="008C2E6D"/>
    <w:rsid w:val="008C3567"/>
    <w:rsid w:val="008C7BFC"/>
    <w:rsid w:val="008D10D7"/>
    <w:rsid w:val="008D2687"/>
    <w:rsid w:val="008D4515"/>
    <w:rsid w:val="008D78D4"/>
    <w:rsid w:val="008E0A81"/>
    <w:rsid w:val="008E1665"/>
    <w:rsid w:val="008E76E7"/>
    <w:rsid w:val="008F06DD"/>
    <w:rsid w:val="008F1694"/>
    <w:rsid w:val="008F2A7D"/>
    <w:rsid w:val="008F51BC"/>
    <w:rsid w:val="008F78BF"/>
    <w:rsid w:val="008F7BCC"/>
    <w:rsid w:val="00901347"/>
    <w:rsid w:val="00902BF8"/>
    <w:rsid w:val="00902C5C"/>
    <w:rsid w:val="00903DA5"/>
    <w:rsid w:val="00912B60"/>
    <w:rsid w:val="00917EF3"/>
    <w:rsid w:val="00920063"/>
    <w:rsid w:val="00927A33"/>
    <w:rsid w:val="0093303F"/>
    <w:rsid w:val="009405EF"/>
    <w:rsid w:val="00941BD8"/>
    <w:rsid w:val="00943A2A"/>
    <w:rsid w:val="009500E2"/>
    <w:rsid w:val="00951353"/>
    <w:rsid w:val="00952DC1"/>
    <w:rsid w:val="00955224"/>
    <w:rsid w:val="009603BF"/>
    <w:rsid w:val="0096563A"/>
    <w:rsid w:val="00965BB4"/>
    <w:rsid w:val="00967E4D"/>
    <w:rsid w:val="00976167"/>
    <w:rsid w:val="00980AF8"/>
    <w:rsid w:val="00982591"/>
    <w:rsid w:val="00984046"/>
    <w:rsid w:val="00984512"/>
    <w:rsid w:val="00985529"/>
    <w:rsid w:val="00986210"/>
    <w:rsid w:val="009947D4"/>
    <w:rsid w:val="009979DF"/>
    <w:rsid w:val="009A2DD6"/>
    <w:rsid w:val="009A33EB"/>
    <w:rsid w:val="009B10A5"/>
    <w:rsid w:val="009B13E6"/>
    <w:rsid w:val="009B1AD8"/>
    <w:rsid w:val="009B2263"/>
    <w:rsid w:val="009B2CEE"/>
    <w:rsid w:val="009B40DB"/>
    <w:rsid w:val="009B41F9"/>
    <w:rsid w:val="009B61D5"/>
    <w:rsid w:val="009C1AC3"/>
    <w:rsid w:val="009C29A3"/>
    <w:rsid w:val="009C5B6C"/>
    <w:rsid w:val="009C785E"/>
    <w:rsid w:val="009D6783"/>
    <w:rsid w:val="009F09D2"/>
    <w:rsid w:val="009F1DAB"/>
    <w:rsid w:val="009F3518"/>
    <w:rsid w:val="009F7E3D"/>
    <w:rsid w:val="00A033BF"/>
    <w:rsid w:val="00A05715"/>
    <w:rsid w:val="00A110AB"/>
    <w:rsid w:val="00A13791"/>
    <w:rsid w:val="00A17AC4"/>
    <w:rsid w:val="00A2126A"/>
    <w:rsid w:val="00A239CE"/>
    <w:rsid w:val="00A25B90"/>
    <w:rsid w:val="00A36FB6"/>
    <w:rsid w:val="00A37FC7"/>
    <w:rsid w:val="00A42FDD"/>
    <w:rsid w:val="00A446D1"/>
    <w:rsid w:val="00A465A4"/>
    <w:rsid w:val="00A50EE9"/>
    <w:rsid w:val="00A54E93"/>
    <w:rsid w:val="00A553AF"/>
    <w:rsid w:val="00A6058F"/>
    <w:rsid w:val="00A6149D"/>
    <w:rsid w:val="00A62E4B"/>
    <w:rsid w:val="00A63568"/>
    <w:rsid w:val="00A74A10"/>
    <w:rsid w:val="00A828BE"/>
    <w:rsid w:val="00A82FF3"/>
    <w:rsid w:val="00A916EF"/>
    <w:rsid w:val="00A9293C"/>
    <w:rsid w:val="00A96021"/>
    <w:rsid w:val="00A968A1"/>
    <w:rsid w:val="00A9735E"/>
    <w:rsid w:val="00AA7236"/>
    <w:rsid w:val="00AB0E22"/>
    <w:rsid w:val="00AB0EEE"/>
    <w:rsid w:val="00AB3CA0"/>
    <w:rsid w:val="00AB66EA"/>
    <w:rsid w:val="00AB7E49"/>
    <w:rsid w:val="00AC22A8"/>
    <w:rsid w:val="00AC370D"/>
    <w:rsid w:val="00AC4912"/>
    <w:rsid w:val="00AD12D9"/>
    <w:rsid w:val="00AD38B3"/>
    <w:rsid w:val="00AD454D"/>
    <w:rsid w:val="00AD63A7"/>
    <w:rsid w:val="00AE0E2F"/>
    <w:rsid w:val="00AE2585"/>
    <w:rsid w:val="00AE54F4"/>
    <w:rsid w:val="00AE58E5"/>
    <w:rsid w:val="00AE7538"/>
    <w:rsid w:val="00AF2AD4"/>
    <w:rsid w:val="00B026F3"/>
    <w:rsid w:val="00B031B8"/>
    <w:rsid w:val="00B032A3"/>
    <w:rsid w:val="00B0349A"/>
    <w:rsid w:val="00B05F26"/>
    <w:rsid w:val="00B0600C"/>
    <w:rsid w:val="00B06A79"/>
    <w:rsid w:val="00B06AB6"/>
    <w:rsid w:val="00B07EB9"/>
    <w:rsid w:val="00B10FA6"/>
    <w:rsid w:val="00B12377"/>
    <w:rsid w:val="00B17C9C"/>
    <w:rsid w:val="00B20315"/>
    <w:rsid w:val="00B22954"/>
    <w:rsid w:val="00B235AF"/>
    <w:rsid w:val="00B2377B"/>
    <w:rsid w:val="00B261AF"/>
    <w:rsid w:val="00B26E35"/>
    <w:rsid w:val="00B3074E"/>
    <w:rsid w:val="00B334AD"/>
    <w:rsid w:val="00B34326"/>
    <w:rsid w:val="00B402A3"/>
    <w:rsid w:val="00B42787"/>
    <w:rsid w:val="00B470FF"/>
    <w:rsid w:val="00B50E9A"/>
    <w:rsid w:val="00B5166B"/>
    <w:rsid w:val="00B51BEE"/>
    <w:rsid w:val="00B528A4"/>
    <w:rsid w:val="00B53041"/>
    <w:rsid w:val="00B54682"/>
    <w:rsid w:val="00B55841"/>
    <w:rsid w:val="00B72BF1"/>
    <w:rsid w:val="00B73B1C"/>
    <w:rsid w:val="00B748FE"/>
    <w:rsid w:val="00B763FC"/>
    <w:rsid w:val="00B77ECA"/>
    <w:rsid w:val="00B81518"/>
    <w:rsid w:val="00B82AAD"/>
    <w:rsid w:val="00B845E5"/>
    <w:rsid w:val="00B87377"/>
    <w:rsid w:val="00B966C5"/>
    <w:rsid w:val="00BA0AE1"/>
    <w:rsid w:val="00BA2121"/>
    <w:rsid w:val="00BB05B3"/>
    <w:rsid w:val="00BB17E8"/>
    <w:rsid w:val="00BB44BF"/>
    <w:rsid w:val="00BB4F5F"/>
    <w:rsid w:val="00BB5775"/>
    <w:rsid w:val="00BB5930"/>
    <w:rsid w:val="00BB7B19"/>
    <w:rsid w:val="00BC05A3"/>
    <w:rsid w:val="00BC1641"/>
    <w:rsid w:val="00BC18D9"/>
    <w:rsid w:val="00BD1452"/>
    <w:rsid w:val="00BE1413"/>
    <w:rsid w:val="00BE1CB4"/>
    <w:rsid w:val="00BE3C8E"/>
    <w:rsid w:val="00BE7FAD"/>
    <w:rsid w:val="00BF0438"/>
    <w:rsid w:val="00BF6C71"/>
    <w:rsid w:val="00C02F0C"/>
    <w:rsid w:val="00C0335A"/>
    <w:rsid w:val="00C0484B"/>
    <w:rsid w:val="00C04DB9"/>
    <w:rsid w:val="00C0593A"/>
    <w:rsid w:val="00C07F1C"/>
    <w:rsid w:val="00C10782"/>
    <w:rsid w:val="00C1178A"/>
    <w:rsid w:val="00C12250"/>
    <w:rsid w:val="00C12538"/>
    <w:rsid w:val="00C13769"/>
    <w:rsid w:val="00C16878"/>
    <w:rsid w:val="00C20114"/>
    <w:rsid w:val="00C228C6"/>
    <w:rsid w:val="00C22AC5"/>
    <w:rsid w:val="00C23EBA"/>
    <w:rsid w:val="00C2519E"/>
    <w:rsid w:val="00C25CE5"/>
    <w:rsid w:val="00C26C95"/>
    <w:rsid w:val="00C32749"/>
    <w:rsid w:val="00C37E82"/>
    <w:rsid w:val="00C62B55"/>
    <w:rsid w:val="00C63CA0"/>
    <w:rsid w:val="00C64358"/>
    <w:rsid w:val="00C67D94"/>
    <w:rsid w:val="00C72039"/>
    <w:rsid w:val="00C72B54"/>
    <w:rsid w:val="00C74BD0"/>
    <w:rsid w:val="00C81283"/>
    <w:rsid w:val="00C81D18"/>
    <w:rsid w:val="00C91FEF"/>
    <w:rsid w:val="00CA1E78"/>
    <w:rsid w:val="00CA2592"/>
    <w:rsid w:val="00CA4434"/>
    <w:rsid w:val="00CA690B"/>
    <w:rsid w:val="00CB1458"/>
    <w:rsid w:val="00CB5D25"/>
    <w:rsid w:val="00CC21F0"/>
    <w:rsid w:val="00CC5D03"/>
    <w:rsid w:val="00CD1CCB"/>
    <w:rsid w:val="00CE0326"/>
    <w:rsid w:val="00CE4EAA"/>
    <w:rsid w:val="00CE519A"/>
    <w:rsid w:val="00CF06E9"/>
    <w:rsid w:val="00CF129B"/>
    <w:rsid w:val="00CF22A0"/>
    <w:rsid w:val="00CF45D0"/>
    <w:rsid w:val="00CF4674"/>
    <w:rsid w:val="00CF4E8B"/>
    <w:rsid w:val="00CF6458"/>
    <w:rsid w:val="00D0207B"/>
    <w:rsid w:val="00D02F52"/>
    <w:rsid w:val="00D04E4E"/>
    <w:rsid w:val="00D071A7"/>
    <w:rsid w:val="00D107A1"/>
    <w:rsid w:val="00D12CD5"/>
    <w:rsid w:val="00D13C08"/>
    <w:rsid w:val="00D206DA"/>
    <w:rsid w:val="00D21C20"/>
    <w:rsid w:val="00D3136A"/>
    <w:rsid w:val="00D35374"/>
    <w:rsid w:val="00D36642"/>
    <w:rsid w:val="00D36D6D"/>
    <w:rsid w:val="00D40A4D"/>
    <w:rsid w:val="00D42592"/>
    <w:rsid w:val="00D44547"/>
    <w:rsid w:val="00D46D7F"/>
    <w:rsid w:val="00D507A6"/>
    <w:rsid w:val="00D50C71"/>
    <w:rsid w:val="00D577F2"/>
    <w:rsid w:val="00D615C7"/>
    <w:rsid w:val="00D62EF5"/>
    <w:rsid w:val="00D65A6A"/>
    <w:rsid w:val="00D7181B"/>
    <w:rsid w:val="00D71AAB"/>
    <w:rsid w:val="00D73A9A"/>
    <w:rsid w:val="00D81CF2"/>
    <w:rsid w:val="00D85EA3"/>
    <w:rsid w:val="00D860A2"/>
    <w:rsid w:val="00D87ED3"/>
    <w:rsid w:val="00D9200D"/>
    <w:rsid w:val="00D9387A"/>
    <w:rsid w:val="00D94E72"/>
    <w:rsid w:val="00D95AC8"/>
    <w:rsid w:val="00DA6F4B"/>
    <w:rsid w:val="00DB5E7B"/>
    <w:rsid w:val="00DB6741"/>
    <w:rsid w:val="00DB7A5D"/>
    <w:rsid w:val="00DC0166"/>
    <w:rsid w:val="00DC26EC"/>
    <w:rsid w:val="00DC27C9"/>
    <w:rsid w:val="00DC6F67"/>
    <w:rsid w:val="00DD0415"/>
    <w:rsid w:val="00DD29FF"/>
    <w:rsid w:val="00DD2F5F"/>
    <w:rsid w:val="00DD61F9"/>
    <w:rsid w:val="00DD7003"/>
    <w:rsid w:val="00DE37B4"/>
    <w:rsid w:val="00DE3AFE"/>
    <w:rsid w:val="00DE60AF"/>
    <w:rsid w:val="00DF5252"/>
    <w:rsid w:val="00E10D8D"/>
    <w:rsid w:val="00E13926"/>
    <w:rsid w:val="00E148F5"/>
    <w:rsid w:val="00E16F44"/>
    <w:rsid w:val="00E20FD5"/>
    <w:rsid w:val="00E2149A"/>
    <w:rsid w:val="00E3332D"/>
    <w:rsid w:val="00E33B3F"/>
    <w:rsid w:val="00E4164D"/>
    <w:rsid w:val="00E422E0"/>
    <w:rsid w:val="00E43489"/>
    <w:rsid w:val="00E43F4B"/>
    <w:rsid w:val="00E44318"/>
    <w:rsid w:val="00E5363F"/>
    <w:rsid w:val="00E54DDA"/>
    <w:rsid w:val="00E562D4"/>
    <w:rsid w:val="00E5678C"/>
    <w:rsid w:val="00E56F74"/>
    <w:rsid w:val="00E644D0"/>
    <w:rsid w:val="00E65B96"/>
    <w:rsid w:val="00E66CE7"/>
    <w:rsid w:val="00E66EEC"/>
    <w:rsid w:val="00E704A4"/>
    <w:rsid w:val="00E72FE3"/>
    <w:rsid w:val="00E7327D"/>
    <w:rsid w:val="00E736CF"/>
    <w:rsid w:val="00E845B2"/>
    <w:rsid w:val="00E8471A"/>
    <w:rsid w:val="00E90E3F"/>
    <w:rsid w:val="00E94F31"/>
    <w:rsid w:val="00E97C6C"/>
    <w:rsid w:val="00E97DE6"/>
    <w:rsid w:val="00EB6F09"/>
    <w:rsid w:val="00EC0522"/>
    <w:rsid w:val="00EC0F36"/>
    <w:rsid w:val="00ED05C2"/>
    <w:rsid w:val="00ED2054"/>
    <w:rsid w:val="00EE542A"/>
    <w:rsid w:val="00EF57CE"/>
    <w:rsid w:val="00F02720"/>
    <w:rsid w:val="00F050BB"/>
    <w:rsid w:val="00F06DC7"/>
    <w:rsid w:val="00F102C7"/>
    <w:rsid w:val="00F1036B"/>
    <w:rsid w:val="00F121FC"/>
    <w:rsid w:val="00F15BE1"/>
    <w:rsid w:val="00F21A09"/>
    <w:rsid w:val="00F25CD5"/>
    <w:rsid w:val="00F356AC"/>
    <w:rsid w:val="00F377BB"/>
    <w:rsid w:val="00F37F7A"/>
    <w:rsid w:val="00F44D53"/>
    <w:rsid w:val="00F47A30"/>
    <w:rsid w:val="00F53901"/>
    <w:rsid w:val="00F53AD5"/>
    <w:rsid w:val="00F53B33"/>
    <w:rsid w:val="00F55967"/>
    <w:rsid w:val="00F6055E"/>
    <w:rsid w:val="00F65160"/>
    <w:rsid w:val="00F7012D"/>
    <w:rsid w:val="00F73A44"/>
    <w:rsid w:val="00F763DA"/>
    <w:rsid w:val="00F77512"/>
    <w:rsid w:val="00F81A1A"/>
    <w:rsid w:val="00F8579E"/>
    <w:rsid w:val="00F863D6"/>
    <w:rsid w:val="00F8713C"/>
    <w:rsid w:val="00F918A1"/>
    <w:rsid w:val="00F957B5"/>
    <w:rsid w:val="00FA5DD8"/>
    <w:rsid w:val="00FA64C1"/>
    <w:rsid w:val="00FA782D"/>
    <w:rsid w:val="00FB0CDB"/>
    <w:rsid w:val="00FB1B1A"/>
    <w:rsid w:val="00FB75E4"/>
    <w:rsid w:val="00FC4B0D"/>
    <w:rsid w:val="00FC6782"/>
    <w:rsid w:val="00FC691C"/>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D4"/>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55718376">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142</cp:revision>
  <cp:lastPrinted>2020-10-23T16:58:00Z</cp:lastPrinted>
  <dcterms:created xsi:type="dcterms:W3CDTF">2020-10-05T14:27:00Z</dcterms:created>
  <dcterms:modified xsi:type="dcterms:W3CDTF">2021-07-09T00:57:00Z</dcterms:modified>
</cp:coreProperties>
</file>