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 w:line="260"/>
        <w:jc w:val="center"/>
      </w:pPr>
      <w:r>
        <w:rPr>
          <w:rFonts w:ascii="Paperlogy" w:cs="Paperlogy" w:eastAsia="Paperlogy" w:hAnsi="Paperlogy"/>
          <w:b/>
          <w:bCs/>
          <w:color w:val="4F6F5D"/>
          <w:sz w:val="32"/>
          <w:szCs w:val="32"/>
        </w:rPr>
        <w:t xml:space="preserve">교수·학습 과정안</w:t>
      </w:r>
    </w:p>
    <w:p>
      <w:pPr>
        <w:spacing w:after="120" w:before="0" w:line="260"/>
        <w:jc w:val="center"/>
      </w:pPr>
      <w:r>
        <w:rPr>
          <w:rFonts w:ascii="Paperlogy" w:cs="Paperlogy" w:eastAsia="Paperlogy" w:hAnsi="Paperlogy"/>
          <w:b/>
          <w:bCs/>
          <w:color w:val="26342D"/>
          <w:sz w:val="22"/>
          <w:szCs w:val="22"/>
        </w:rPr>
        <w:t xml:space="preserve">1차시 · 빛의 세기와 광합성 관계 탐구 (45분)</w:t>
      </w:r>
    </w:p>
    <w:p>
      <w:pPr>
        <w:spacing w:after="70" w:before="100" w:line="260"/>
      </w:pPr>
      <w:r>
        <w:rPr>
          <w:rFonts w:ascii="Paperlogy" w:cs="Paperlogy" w:eastAsia="Paperlogy" w:hAnsi="Paperlogy"/>
          <w:b/>
          <w:bCs/>
          <w:color w:val="4F6F5D"/>
          <w:sz w:val="22"/>
          <w:szCs w:val="22"/>
        </w:rPr>
        <w:t xml:space="preserve">수업 개요</w:t>
      </w:r>
    </w:p>
    <w:tbl>
      <w:tblPr>
        <w:tblW w:type="dxa" w:w="9977"/>
        <w:tblBorders>
          <w:top w:val="single" w:color="91A99A" w:sz="6"/>
          <w:left w:val="single" w:color="91A99A" w:sz="6"/>
          <w:bottom w:val="single" w:color="91A99A" w:sz="6"/>
          <w:right w:val="single" w:color="91A99A" w:sz="6"/>
          <w:insideH w:val="single" w:color="91A99A" w:sz="6"/>
          <w:insideV w:val="single" w:color="91A99A" w:sz="6"/>
        </w:tblBorders>
        <w:tblLayout w:type="fixed"/>
        <w:tblCellMar>
          <w:top w:type="dxa" w:w="50"/>
          <w:left w:type="dxa" w:w="60"/>
          <w:bottom w:type="dxa" w:w="50"/>
          <w:right w:type="dxa" w:w="60"/>
        </w:tblCellMar>
      </w:tblPr>
      <w:tblGrid>
        <w:gridCol w:w="1250"/>
        <w:gridCol w:w="3739"/>
        <w:gridCol w:w="1250"/>
        <w:gridCol w:w="3739"/>
      </w:tblGrid>
      <w:tr>
        <w:trPr>
          <w:cantSplit/>
        </w:trPr>
        <w:tc>
          <w:tcPr>
            <w:tcW w:type="dxa" w:w="1250"/>
            <w:shd w:fill="EDF3E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60"/>
              <w:jc w:val="center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일시</w:t>
            </w:r>
          </w:p>
        </w:tc>
        <w:tc>
          <w:tcPr>
            <w:tcW w:type="dxa" w:w="3739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2026. 7. 13. / 3교시</w:t>
            </w:r>
          </w:p>
        </w:tc>
        <w:tc>
          <w:tcPr>
            <w:tcW w:type="dxa" w:w="1250"/>
            <w:shd w:fill="EDF3E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60"/>
              <w:jc w:val="center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장소</w:t>
            </w:r>
          </w:p>
        </w:tc>
        <w:tc>
          <w:tcPr>
            <w:tcW w:type="dxa" w:w="3739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과학실</w:t>
            </w:r>
          </w:p>
        </w:tc>
      </w:tr>
      <w:tr>
        <w:trPr>
          <w:cantSplit/>
        </w:trPr>
        <w:tc>
          <w:tcPr>
            <w:tcW w:type="dxa" w:w="1250"/>
            <w:shd w:fill="EDF3E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60"/>
              <w:jc w:val="center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대상 학급</w:t>
            </w:r>
          </w:p>
        </w:tc>
        <w:tc>
          <w:tcPr>
            <w:tcW w:type="dxa" w:w="3739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2학년 1반</w:t>
            </w:r>
          </w:p>
        </w:tc>
        <w:tc>
          <w:tcPr>
            <w:tcW w:type="dxa" w:w="1250"/>
            <w:shd w:fill="EDF3E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60"/>
              <w:jc w:val="center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수업자</w:t>
            </w:r>
          </w:p>
        </w:tc>
        <w:tc>
          <w:tcPr>
            <w:tcW w:type="dxa" w:w="3739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올패스 티칭 예시</w:t>
            </w:r>
          </w:p>
        </w:tc>
      </w:tr>
      <w:tr>
        <w:trPr>
          <w:cantSplit/>
        </w:trPr>
        <w:tc>
          <w:tcPr>
            <w:tcW w:type="dxa" w:w="1250"/>
            <w:shd w:fill="EDF3E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60"/>
              <w:jc w:val="center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학교급·학년</w:t>
            </w:r>
          </w:p>
        </w:tc>
        <w:tc>
          <w:tcPr>
            <w:tcW w:type="dxa" w:w="3739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중학교 2학년</w:t>
            </w:r>
          </w:p>
        </w:tc>
        <w:tc>
          <w:tcPr>
            <w:tcW w:type="dxa" w:w="1250"/>
            <w:shd w:fill="EDF3E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60"/>
              <w:jc w:val="center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과목</w:t>
            </w:r>
          </w:p>
        </w:tc>
        <w:tc>
          <w:tcPr>
            <w:tcW w:type="dxa" w:w="3739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과학</w:t>
            </w:r>
          </w:p>
        </w:tc>
      </w:tr>
      <w:tr>
        <w:trPr>
          <w:cantSplit/>
        </w:trPr>
        <w:tc>
          <w:tcPr>
            <w:tcW w:type="dxa" w:w="1250"/>
            <w:shd w:fill="EDF3E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60"/>
              <w:jc w:val="center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단원/주제</w:t>
            </w:r>
          </w:p>
        </w:tc>
        <w:tc>
          <w:tcPr>
            <w:tcW w:type="dxa" w:w="8727"/>
            <w:gridSpan w:val="3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광합성과 환경 요인</w:t>
            </w:r>
          </w:p>
        </w:tc>
      </w:tr>
      <w:tr>
        <w:trPr>
          <w:cantSplit/>
        </w:trPr>
        <w:tc>
          <w:tcPr>
            <w:tcW w:type="dxa" w:w="1250"/>
            <w:shd w:fill="EDF3E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60"/>
              <w:jc w:val="center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수업 제목</w:t>
            </w:r>
          </w:p>
        </w:tc>
        <w:tc>
          <w:tcPr>
            <w:tcW w:type="dxa" w:w="8727"/>
            <w:gridSpan w:val="3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빛의 세기에 따른 광합성 정도 탐구</w:t>
            </w:r>
          </w:p>
        </w:tc>
      </w:tr>
      <w:tr>
        <w:trPr>
          <w:cantSplit/>
        </w:trPr>
        <w:tc>
          <w:tcPr>
            <w:tcW w:type="dxa" w:w="1250"/>
            <w:shd w:fill="EDF3E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60"/>
              <w:jc w:val="center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차시</w:t>
            </w:r>
          </w:p>
        </w:tc>
        <w:tc>
          <w:tcPr>
            <w:tcW w:type="dxa" w:w="3739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1/1</w:t>
            </w:r>
          </w:p>
        </w:tc>
        <w:tc>
          <w:tcPr>
            <w:tcW w:type="dxa" w:w="1250"/>
            <w:shd w:fill="EDF3E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60"/>
              <w:jc w:val="center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수업 모형</w:t>
            </w:r>
          </w:p>
        </w:tc>
        <w:tc>
          <w:tcPr>
            <w:tcW w:type="dxa" w:w="3739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탐구·발견 학습</w:t>
            </w:r>
          </w:p>
        </w:tc>
      </w:tr>
      <w:tr>
        <w:trPr>
          <w:cantSplit/>
        </w:trPr>
        <w:tc>
          <w:tcPr>
            <w:tcW w:type="dxa" w:w="1250"/>
            <w:shd w:fill="EDF3E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60"/>
              <w:jc w:val="center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성취기준</w:t>
            </w:r>
          </w:p>
        </w:tc>
        <w:tc>
          <w:tcPr>
            <w:tcW w:type="dxa" w:w="8727"/>
            <w:gridSpan w:val="3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[9과12-01] 광합성 과정을 이해하고, 환경 요인과 광합성의 관계를 탐구하는 실험을 설계할 수 있다.</w:t>
            </w:r>
          </w:p>
        </w:tc>
      </w:tr>
      <w:tr>
        <w:trPr>
          <w:cantSplit/>
        </w:trPr>
        <w:tc>
          <w:tcPr>
            <w:tcW w:type="dxa" w:w="1250"/>
            <w:shd w:fill="EDF3E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60"/>
              <w:jc w:val="center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학습 목표</w:t>
            </w:r>
          </w:p>
        </w:tc>
        <w:tc>
          <w:tcPr>
            <w:tcW w:type="dxa" w:w="8727"/>
            <w:gridSpan w:val="3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1. 빛의 세기에 따른 수초의 기포 수를 관찰하고 기록할 수 있다.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2. 관찰 결과를 표와 그래프로 정리하여 해석할 수 있다.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3. 광합성 정도와 빛의 세기 사이의 관계를 근거로 설명할 수 있다.</w:t>
            </w:r>
          </w:p>
        </w:tc>
      </w:tr>
      <w:tr>
        <w:trPr>
          <w:cantSplit/>
        </w:trPr>
        <w:tc>
          <w:tcPr>
            <w:tcW w:type="dxa" w:w="1250"/>
            <w:shd w:fill="EDF3E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60"/>
              <w:jc w:val="center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핵심 질문</w:t>
            </w:r>
          </w:p>
        </w:tc>
        <w:tc>
          <w:tcPr>
            <w:tcW w:type="dxa" w:w="8727"/>
            <w:gridSpan w:val="3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빛의 세기가 광합성 속도에 어떤 영향을 미칠까?</w:t>
            </w:r>
          </w:p>
        </w:tc>
      </w:tr>
      <w:tr>
        <w:trPr>
          <w:cantSplit/>
        </w:trPr>
        <w:tc>
          <w:tcPr>
            <w:tcW w:type="dxa" w:w="1250"/>
            <w:shd w:fill="EDF3E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60"/>
              <w:jc w:val="center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준비물</w:t>
            </w:r>
          </w:p>
        </w:tc>
        <w:tc>
          <w:tcPr>
            <w:tcW w:type="dxa" w:w="8727"/>
            <w:gridSpan w:val="3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수초(엘로데아), 투명 수조, 조명 장치(밝기 조절 가능), 초시계, 핀셋, 기록지, 색연필, 안전 고글</w:t>
            </w:r>
          </w:p>
        </w:tc>
      </w:tr>
    </w:tbl>
    <w:p>
      <w:pPr>
        <w:spacing w:after="70" w:before="100" w:line="260"/>
      </w:pPr>
      <w:r>
        <w:rPr>
          <w:rFonts w:ascii="Paperlogy" w:cs="Paperlogy" w:eastAsia="Paperlogy" w:hAnsi="Paperlogy"/>
          <w:b/>
          <w:bCs/>
          <w:color w:val="4F6F5D"/>
          <w:sz w:val="22"/>
          <w:szCs w:val="22"/>
        </w:rPr>
        <w:t xml:space="preserve">교수·학습 과정</w:t>
      </w:r>
    </w:p>
    <w:tbl>
      <w:tblPr>
        <w:tblW w:type="dxa" w:w="9977"/>
        <w:tblBorders>
          <w:top w:val="single" w:color="91A99A" w:sz="6"/>
          <w:left w:val="single" w:color="91A99A" w:sz="6"/>
          <w:bottom w:val="single" w:color="91A99A" w:sz="6"/>
          <w:right w:val="single" w:color="91A99A" w:sz="6"/>
          <w:insideH w:val="single" w:color="91A99A" w:sz="6"/>
          <w:insideV w:val="single" w:color="91A99A" w:sz="6"/>
        </w:tblBorders>
        <w:tblLayout w:type="fixed"/>
        <w:tblCellMar>
          <w:top w:type="dxa" w:w="50"/>
          <w:left w:type="dxa" w:w="60"/>
          <w:bottom w:type="dxa" w:w="50"/>
          <w:right w:type="dxa" w:w="60"/>
        </w:tblCellMar>
      </w:tblPr>
      <w:tblGrid>
        <w:gridCol w:w="760"/>
        <w:gridCol w:w="1250"/>
        <w:gridCol w:w="2730"/>
        <w:gridCol w:w="2550"/>
        <w:gridCol w:w="650"/>
        <w:gridCol w:w="2038"/>
      </w:tblGrid>
      <w:tr>
        <w:trPr>
          <w:cantSplit/>
          <w:tblHeader/>
        </w:trPr>
        <w:tc>
          <w:tcPr>
            <w:tcW w:type="dxa" w:w="760"/>
            <w:shd w:fill="DDE9E1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60"/>
              <w:jc w:val="center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단계</w:t>
            </w:r>
          </w:p>
        </w:tc>
        <w:tc>
          <w:tcPr>
            <w:tcW w:type="dxa" w:w="1250"/>
            <w:shd w:fill="DDE9E1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60"/>
              <w:jc w:val="center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학습 요소</w:t>
            </w:r>
          </w:p>
        </w:tc>
        <w:tc>
          <w:tcPr>
            <w:tcW w:type="dxa" w:w="2730"/>
            <w:shd w:fill="DDE9E1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60"/>
              <w:jc w:val="center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교사 활동</w:t>
            </w:r>
          </w:p>
        </w:tc>
        <w:tc>
          <w:tcPr>
            <w:tcW w:type="dxa" w:w="2550"/>
            <w:shd w:fill="DDE9E1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60"/>
              <w:jc w:val="center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학생 활동</w:t>
            </w:r>
          </w:p>
        </w:tc>
        <w:tc>
          <w:tcPr>
            <w:tcW w:type="dxa" w:w="650"/>
            <w:shd w:fill="DDE9E1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60"/>
              <w:jc w:val="center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시간</w:t>
            </w:r>
          </w:p>
        </w:tc>
        <w:tc>
          <w:tcPr>
            <w:tcW w:type="dxa" w:w="2038"/>
            <w:shd w:fill="DDE9E1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60"/>
              <w:jc w:val="center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자료·유의점</w:t>
            </w:r>
          </w:p>
        </w:tc>
      </w:tr>
      <w:tr>
        <w:trPr>
          <w:cantSplit/>
        </w:trPr>
        <w:tc>
          <w:tcPr>
            <w:tcW w:type="dxa" w:w="760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60"/>
              <w:jc w:val="center"/>
            </w:pPr>
            <w:r>
              <w:rPr>
                <w:rFonts w:ascii="Paperlogy" w:cs="Paperlogy" w:eastAsia="Paperlogy" w:hAnsi="Paperlogy"/>
                <w:b/>
                <w:bCs/>
                <w:color w:val="26342D"/>
                <w:sz w:val="18"/>
                <w:szCs w:val="18"/>
              </w:rPr>
              <w:t xml:space="preserve">도입</w:t>
            </w:r>
          </w:p>
        </w:tc>
        <w:tc>
          <w:tcPr>
            <w:tcW w:type="dxa" w:w="1250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문제 인식</w:t>
            </w:r>
          </w:p>
        </w:tc>
        <w:tc>
          <w:tcPr>
            <w:tcW w:type="dxa" w:w="2730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교사 활동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• 안녕하세요, 여러분. 오늘은 수초에서 나오는 기포를 관찰하면서 광합성에 대해 알아볼 거예요.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• 먼저, 수초가 있는 수조를 보여드릴게요. 조명을 켜면 수초에서 작은 기포가 올라오는 걸 볼 수 있어요.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• 이 기포는 광합성으로 만들어지는 산소예요. 그런데 조명의 밝기를 다르게 하면 기포 수가 어떻게 달라질까요?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주요 발문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• 수초에서 기포가 나오는 이유는 무엇일까요?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• 조명을 더 밝게 하면 기포 수가 어떻게 변할 것 같나요?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• 오늘 우리가 알아볼 탐구 질문은 무엇일까요?</w:t>
            </w:r>
          </w:p>
        </w:tc>
        <w:tc>
          <w:tcPr>
            <w:tcW w:type="dxa" w:w="2550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학생 활동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• 교사의 설명을 듣고 수초와 기포를 관찰한다.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• 조명의 밝기에 따라 기포 수가 달라질 것 같다는 생각을 한다.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• 탐구 질문을 생각해 본다.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예상 학생 반응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• 광합성으로 산소가 만들어져서 기포가 나온다.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• 밝은 조명에서는 기포가 더 많이 생길 것 같다.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• 빛의 세기가 광합성 속도에 미치는 영향을 알아보는 것이 탐구 질문이다.</w:t>
            </w:r>
          </w:p>
        </w:tc>
        <w:tc>
          <w:tcPr>
            <w:tcW w:type="dxa" w:w="650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60"/>
              <w:jc w:val="center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5분</w:t>
            </w:r>
          </w:p>
        </w:tc>
        <w:tc>
          <w:tcPr>
            <w:tcW w:type="dxa" w:w="2038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자료·유의점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• 수초(엘로데아)가 담긴 투명 수조, 조명 장치, 안전 고글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지원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• 광합성 개념을 모르는 학생에게는 '식물이 빛 에너지를 이용해 영양분을 만드는 과정'이라고 간단히 설명한다.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• 기포 관찰이 어려운 학생에게는 교사가 직접 시범을 보여준다.</w:t>
            </w:r>
          </w:p>
        </w:tc>
      </w:tr>
      <w:tr>
        <w:trPr>
          <w:cantSplit/>
        </w:trPr>
        <w:tc>
          <w:tcPr>
            <w:tcW w:type="dxa" w:w="760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60"/>
              <w:jc w:val="center"/>
            </w:pPr>
            <w:r>
              <w:rPr>
                <w:rFonts w:ascii="Paperlogy" w:cs="Paperlogy" w:eastAsia="Paperlogy" w:hAnsi="Paperlogy"/>
                <w:b/>
                <w:bCs/>
                <w:color w:val="26342D"/>
                <w:sz w:val="18"/>
                <w:szCs w:val="18"/>
              </w:rPr>
              <w:t xml:space="preserve">전개</w:t>
            </w:r>
          </w:p>
        </w:tc>
        <w:tc>
          <w:tcPr>
            <w:tcW w:type="dxa" w:w="1250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가설 설정 · 탐구 수행</w:t>
            </w:r>
          </w:p>
        </w:tc>
        <w:tc>
          <w:tcPr>
            <w:tcW w:type="dxa" w:w="2730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교사 활동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• 이제 조명의 밝기를 다르게 해서 실험을 해볼 거예요. 먼저 가설을 세워봅시다.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• 가설은 '만약 빛의 세기를 높이면 광합성 속도가 빨라져 기포 수가 증가할 것이다'처럼 세울 수 있어요.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• 가설을 세울 때 '왜 그렇게 생각하는지' 근거도 함께 적어보세요.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• 실험 절차를 안내합니다. 1) 수조를 준비하고 수초를 넣는다. 2) 조명을 켜고 1분 동안 기포 수를 센다. 3) 조명을 어둡게 하고 같은 방법으로 관찰한다.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• 변인(빛의 세기, 시간, 수초 상태)을 확인하고, 안전 수칙(조명 과열 주의)을 점검합니다.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• 학생들이 실험을 수행하도록 지도하고, 관찰 결과를 표와 그래프로 기록하게 합니다.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주요 발문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• 가설을 세울 때 어떤 근거를 생각했나요?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• 밝은 조명과 어두운 조명에서 기포 수를 어떻게 측정할 건가요?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• 관찰한 기포 수를 어떻게 표로 정리할 수 있을까요?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• 그래프를 그리면 어떤 모양이 나올 것 같나요?</w:t>
            </w:r>
          </w:p>
        </w:tc>
        <w:tc>
          <w:tcPr>
            <w:tcW w:type="dxa" w:w="2550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학생 활동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• 가설을 세우고 예상 근거를 기록한다.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• 실험 절차에 따라 조명의 밝기를 조절하며 기포 수를 측정한다.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• 관찰 결과를 표에 기록하고, 그래프로 시각화한다.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• 변인과 안전 수칙을 지키며 실험을 수행한다.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예상 학생 반응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• 빛이 강할수록 광합성 속도가 빨라져 기포가 더 많이 생길 것 같다.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• 1분 동안 기포 수를 세고, 밝은 조명과 어두운 조명에서 각각 3번씩 반복 측정한다.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• 밝은 조명: 25, 27, 26개 / 어두운 조명: 8, 9, 7개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• 밝은 조명에서 기포 수가 더 많으므로 그래프에서 높은 값을 보인다.</w:t>
            </w:r>
          </w:p>
        </w:tc>
        <w:tc>
          <w:tcPr>
            <w:tcW w:type="dxa" w:w="650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60"/>
              <w:jc w:val="center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35분</w:t>
            </w:r>
          </w:p>
        </w:tc>
        <w:tc>
          <w:tcPr>
            <w:tcW w:type="dxa" w:w="2038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자료·유의점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• 수초(엘로데아), 투명 수조, 조명 장치(밝기 조절 가능), 초시계, 핀셋, 기록지, 색연필, 안전 고글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지원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• 가설을 세우기 어려워하는 학생에게는 '빛이 강하면 광합성 속도가 빨라진다'는 간단한 예시를 제시한다.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• 측정이 어려운 학생에게는 교사가 함께 세어주며 방법을 보여준다.</w:t>
            </w:r>
          </w:p>
        </w:tc>
      </w:tr>
      <w:tr>
        <w:trPr>
          <w:cantSplit/>
        </w:trPr>
        <w:tc>
          <w:tcPr>
            <w:tcW w:type="dxa" w:w="760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60"/>
              <w:jc w:val="center"/>
            </w:pPr>
            <w:r>
              <w:rPr>
                <w:rFonts w:ascii="Paperlogy" w:cs="Paperlogy" w:eastAsia="Paperlogy" w:hAnsi="Paperlogy"/>
                <w:b/>
                <w:bCs/>
                <w:color w:val="26342D"/>
                <w:sz w:val="18"/>
                <w:szCs w:val="18"/>
              </w:rPr>
              <w:t xml:space="preserve">정리</w:t>
            </w:r>
          </w:p>
        </w:tc>
        <w:tc>
          <w:tcPr>
            <w:tcW w:type="dxa" w:w="1250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결론</w:t>
            </w:r>
          </w:p>
        </w:tc>
        <w:tc>
          <w:tcPr>
            <w:tcW w:type="dxa" w:w="2730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교사 활동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• 실험 결과를 함께 정리해봅시다. 밝은 조명에서는 기포 수가 더 많았죠?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• 그래프를 보면 어떤 차이가 있나요?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• 이 결과를 바탕으로 결론을 내려볼까요?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• 오늘 실험에서 어떤 점이 어려웠나요? 다음 차시에서는 어떻게 개선할 수 있을까요?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주요 발문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• 밝은 조명과 어두운 조명에서 기포 수 차이는 얼마나 되었나요?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• 이 차이가 광합성 속도와 어떤 관련이 있다고 생각하나요?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• 오늘 실험에서 가장 중요한 증거는 무엇이었나요?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• 다음 실험에서 어떤 점을 더 신경 써야 할까요?</w:t>
            </w:r>
          </w:p>
        </w:tc>
        <w:tc>
          <w:tcPr>
            <w:tcW w:type="dxa" w:w="2550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학생 활동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• 실험 결과를 표와 그래프로 발표한다.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• 광합성 정도와 빛의 세기 사이의 관계를 근거로 결론을 말한다.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• 남은 질문이나 개선점을 제시한다.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예상 학생 반응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• 밝은 조명에서는 평균 26개, 어두운 조명에서는 평균 8개의 기포가 나왔다.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• 빛이 강할수록 광합성 속도가 빨라져 기포 수가 많아졌다.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• 기포 수가 광합성 정도를 나타내는 증거이므로, 빛의 세기가 광합성에 영향을 준다.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• 다음에는 빛의 파장을 다르게 해서 실험해보고 싶다.</w:t>
            </w:r>
          </w:p>
        </w:tc>
        <w:tc>
          <w:tcPr>
            <w:tcW w:type="dxa" w:w="650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60"/>
              <w:jc w:val="center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5분</w:t>
            </w:r>
          </w:p>
        </w:tc>
        <w:tc>
          <w:tcPr>
            <w:tcW w:type="dxa" w:w="2038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자료·유의점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• 실험 결과 표, 그래프, 기록지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지원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• 결론을 내리기 어려워하는 학생에게는 '기포 수가 많을수록 광합성이 활발하다'는 점을 상기시킨다.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• 그래프 해석에 어려움을 겪는 학생에게는 교사가 함께 해석해 준다.</w:t>
            </w:r>
          </w:p>
        </w:tc>
      </w:tr>
    </w:tbl>
    <w:p>
      <w:r>
        <w:br w:type="page"/>
      </w:r>
    </w:p>
    <w:p>
      <w:pPr>
        <w:spacing w:after="70" w:before="100" w:line="260"/>
      </w:pPr>
      <w:r>
        <w:rPr>
          <w:rFonts w:ascii="Paperlogy" w:cs="Paperlogy" w:eastAsia="Paperlogy" w:hAnsi="Paperlogy"/>
          <w:b/>
          <w:bCs/>
          <w:color w:val="4F6F5D"/>
          <w:sz w:val="22"/>
          <w:szCs w:val="22"/>
        </w:rPr>
        <w:t xml:space="preserve">과정중심평가</w:t>
      </w:r>
    </w:p>
    <w:tbl>
      <w:tblPr>
        <w:tblW w:type="dxa" w:w="9977"/>
        <w:tblBorders>
          <w:top w:val="single" w:color="91A99A" w:sz="6"/>
          <w:left w:val="single" w:color="91A99A" w:sz="6"/>
          <w:bottom w:val="single" w:color="91A99A" w:sz="6"/>
          <w:right w:val="single" w:color="91A99A" w:sz="6"/>
          <w:insideH w:val="single" w:color="91A99A" w:sz="6"/>
          <w:insideV w:val="single" w:color="91A99A" w:sz="6"/>
        </w:tblBorders>
        <w:tblLayout w:type="fixed"/>
        <w:tblCellMar>
          <w:top w:type="dxa" w:w="50"/>
          <w:left w:type="dxa" w:w="60"/>
          <w:bottom w:type="dxa" w:w="50"/>
          <w:right w:type="dxa" w:w="60"/>
        </w:tblCellMar>
      </w:tblPr>
      <w:tblGrid>
        <w:gridCol w:w="1700"/>
        <w:gridCol w:w="1700"/>
        <w:gridCol w:w="1900"/>
        <w:gridCol w:w="4678"/>
      </w:tblGrid>
      <w:tr>
        <w:trPr>
          <w:cantSplit/>
          <w:tblHeader/>
        </w:trPr>
        <w:tc>
          <w:tcPr>
            <w:tcW w:type="dxa" w:w="1700"/>
            <w:shd w:fill="DDE9E1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60"/>
              <w:jc w:val="center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평가 요소</w:t>
            </w:r>
          </w:p>
        </w:tc>
        <w:tc>
          <w:tcPr>
            <w:tcW w:type="dxa" w:w="1700"/>
            <w:shd w:fill="DDE9E1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60"/>
              <w:jc w:val="center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평가 방법</w:t>
            </w:r>
          </w:p>
        </w:tc>
        <w:tc>
          <w:tcPr>
            <w:tcW w:type="dxa" w:w="1900"/>
            <w:shd w:fill="DDE9E1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60"/>
              <w:jc w:val="center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관찰 증거</w:t>
            </w:r>
          </w:p>
        </w:tc>
        <w:tc>
          <w:tcPr>
            <w:tcW w:type="dxa" w:w="4678"/>
            <w:shd w:fill="DDE9E1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60"/>
              <w:jc w:val="center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수준별 피드백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기포 수 관찰 및 해석</w:t>
            </w:r>
          </w:p>
        </w:tc>
        <w:tc>
          <w:tcPr>
            <w:tcW w:type="dxa" w:w="1700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관찰 및 기록 평가</w:t>
            </w:r>
          </w:p>
        </w:tc>
        <w:tc>
          <w:tcPr>
            <w:tcW w:type="dxa" w:w="1900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수초의 기포 수를 정확히 측정하고 표로 정리한 기록지</w:t>
            </w:r>
          </w:p>
        </w:tc>
        <w:tc>
          <w:tcPr>
            <w:tcW w:type="dxa" w:w="4678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공통 피드백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기포 수를 세는 방법과 표 작성이 정확했어요. 다음 번에는 측정 시간을 더 정확히 지켜보세요.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보충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기포 수를 세는 방법을 다시 설명하고, 함께 시범을 보여줍니다.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도달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기포 수를 정확히 측정하고 표로 정리했으며, 광합성과의 관계를 잘 설명했어요.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심화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변인을 정확히 통제하고, 실험 결과를 그래프로 시각화하여 명확하게 해석했어요.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가설 및 결론 작성</w:t>
            </w:r>
          </w:p>
        </w:tc>
        <w:tc>
          <w:tcPr>
            <w:tcW w:type="dxa" w:w="1700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문서 평가</w:t>
            </w:r>
          </w:p>
        </w:tc>
        <w:tc>
          <w:tcPr>
            <w:tcW w:type="dxa" w:w="1900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가설과 결론의 근거 제시</w:t>
            </w:r>
          </w:p>
        </w:tc>
        <w:tc>
          <w:tcPr>
            <w:tcW w:type="dxa" w:w="4678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공통 피드백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가설에 근거를 잘 연결했어요. 다음 번에는 더 구체적인 근거를 찾아보세요.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보충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가설과 결론의 관계를 이해하기 어려워하므로, 예시를 들어 설명합니다.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도달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가설을 세우고, 실험 결과를 근거로 결론을 잘 작성했어요.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심화</w:t>
            </w:r>
          </w:p>
          <w:p>
            <w:pPr>
              <w:spacing w:after="40" w:before="0" w:line="26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가설을 검증할 수 있는 다양한 변인을 고려하며, 결론의 한계를 명확히 지적했어요.</w:t>
            </w:r>
          </w:p>
        </w:tc>
      </w:tr>
    </w:tbl>
    <w:p>
      <w:pPr>
        <w:spacing w:after="70" w:before="100" w:line="260"/>
      </w:pPr>
      <w:r>
        <w:rPr>
          <w:rFonts w:ascii="Paperlogy" w:cs="Paperlogy" w:eastAsia="Paperlogy" w:hAnsi="Paperlogy"/>
          <w:b/>
          <w:bCs/>
          <w:color w:val="4F6F5D"/>
          <w:sz w:val="22"/>
          <w:szCs w:val="22"/>
        </w:rPr>
        <w:t xml:space="preserve">개별화·지원 전략</w:t>
      </w:r>
    </w:p>
    <w:p>
      <w:pPr>
        <w:spacing w:after="40" w:before="0" w:line="260"/>
      </w:pPr>
      <w:r>
        <w:rPr>
          <w:rFonts w:ascii="Paperlogy" w:cs="Paperlogy" w:eastAsia="Paperlogy" w:hAnsi="Paperlogy"/>
          <w:b w:val="false"/>
          <w:bCs w:val="false"/>
          <w:color w:val="26342D"/>
          <w:sz w:val="18"/>
          <w:szCs w:val="18"/>
        </w:rPr>
        <w:t xml:space="preserve">• 개별화 지원: 광합성 개념을 어려워하는 학생에게는 간단한 그림 자료를 제공한다.</w:t>
      </w:r>
    </w:p>
    <w:p>
      <w:pPr>
        <w:spacing w:after="40" w:before="0" w:line="260"/>
      </w:pPr>
      <w:r>
        <w:rPr>
          <w:rFonts w:ascii="Paperlogy" w:cs="Paperlogy" w:eastAsia="Paperlogy" w:hAnsi="Paperlogy"/>
          <w:b w:val="false"/>
          <w:bCs w:val="false"/>
          <w:color w:val="26342D"/>
          <w:sz w:val="18"/>
          <w:szCs w:val="18"/>
        </w:rPr>
        <w:t xml:space="preserve">• 협동 학습: 실험 결과를 함께 정리하고 발표하는 과정에서 서로 도움을 주고받게 한다.</w:t>
      </w:r>
    </w:p>
    <w:p>
      <w:pPr>
        <w:spacing w:after="70" w:before="100" w:line="260"/>
      </w:pPr>
      <w:r>
        <w:rPr>
          <w:rFonts w:ascii="Paperlogy" w:cs="Paperlogy" w:eastAsia="Paperlogy" w:hAnsi="Paperlogy"/>
          <w:b/>
          <w:bCs/>
          <w:color w:val="4F6F5D"/>
          <w:sz w:val="22"/>
          <w:szCs w:val="22"/>
        </w:rPr>
        <w:t xml:space="preserve">수업 후 성찰</w:t>
      </w:r>
    </w:p>
    <w:p>
      <w:pPr>
        <w:spacing w:after="40" w:before="0" w:line="260"/>
      </w:pPr>
      <w:r>
        <w:rPr>
          <w:rFonts w:ascii="Paperlogy" w:cs="Paperlogy" w:eastAsia="Paperlogy" w:hAnsi="Paperlogy"/>
          <w:b w:val="false"/>
          <w:bCs w:val="false"/>
          <w:color w:val="26342D"/>
          <w:sz w:val="18"/>
          <w:szCs w:val="18"/>
        </w:rPr>
        <w:t xml:space="preserve">오늘 실험에서 학생들이 가장 흥미로워한 부분은 무엇이었나요? 다음 차시에서는 어떤 점을 더 강조해야 할까요?</w:t>
      </w:r>
    </w:p>
    <w:p>
      <w:pPr>
        <w:spacing w:after="70" w:before="100" w:line="260"/>
      </w:pPr>
      <w:r>
        <w:rPr>
          <w:rFonts w:ascii="Paperlogy" w:cs="Paperlogy" w:eastAsia="Paperlogy" w:hAnsi="Paperlogy"/>
          <w:b/>
          <w:bCs/>
          <w:color w:val="4F6F5D"/>
          <w:sz w:val="22"/>
          <w:szCs w:val="22"/>
        </w:rPr>
        <w:t xml:space="preserve">후속 학습 및 정리</w:t>
      </w:r>
    </w:p>
    <w:p>
      <w:pPr>
        <w:spacing w:after="40" w:before="0" w:line="260"/>
      </w:pPr>
      <w:r>
        <w:rPr>
          <w:rFonts w:ascii="Paperlogy" w:cs="Paperlogy" w:eastAsia="Paperlogy" w:hAnsi="Paperlogy"/>
          <w:b w:val="false"/>
          <w:bCs w:val="false"/>
          <w:color w:val="26342D"/>
          <w:sz w:val="18"/>
          <w:szCs w:val="18"/>
        </w:rPr>
        <w:t xml:space="preserve">다음 차시에서는 빛의 파장별 광합성 효율을 비교 실험할 예정이다.</w:t>
      </w:r>
    </w:p>
    <w:sectPr>
      <w:pgSz w:w="11905" w:h="16837" w:orient="portrait"/>
      <w:pgMar w:top="963" w:right="963" w:bottom="963" w:left="9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perlogy" w:cs="Paperlogy" w:eastAsia="Paperlogy" w:hAnsi="Paperlogy"/>
        <w:color w:val="26342D"/>
        <w:sz w:val="18"/>
        <w:szCs w:val="18"/>
      </w:rPr>
    </w:rPrDefault>
    <w:pPrDefault>
      <w:pPr>
        <w:spacing w:after="40" w:line="260"/>
      </w:pPr>
    </w:pPrDefault>
  </w:docDefaults>
  <w:style w:type="paragraph" w:styleId="Title">
    <w:name w:val="Title"/>
    <w:basedOn w:val="Normal"/>
    <w:next w:val="Normal"/>
    <w:qFormat/>
    <w:rPr>
      <w:rFonts w:ascii="Paperlogy" w:cs="Paperlogy" w:eastAsia="Paperlogy" w:hAnsi="Paperlogy"/>
      <w:b/>
      <w:bCs/>
      <w:color w:val="4F6F5D"/>
    </w:rPr>
  </w:style>
  <w:style w:type="paragraph" w:styleId="Heading1">
    <w:name w:val="Heading 1"/>
    <w:basedOn w:val="Normal"/>
    <w:next w:val="Normal"/>
    <w:qFormat/>
    <w:rPr>
      <w:rFonts w:ascii="Paperlogy" w:cs="Paperlogy" w:eastAsia="Paperlogy" w:hAnsi="Paperlogy"/>
      <w:b/>
      <w:bCs/>
      <w:color w:val="4F6F5D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2026-07-13T12:08:27.818Z</dcterms:created>
  <dcterms:modified xsi:type="dcterms:W3CDTF">2026-07-13T12:08:27.818Z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