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250"/>
        <w:jc w:val="center"/>
      </w:pPr>
      <w:r>
        <w:rPr>
          <w:rFonts w:ascii="Paperlogy" w:cs="Paperlogy" w:eastAsia="Paperlogy" w:hAnsi="Paperlogy"/>
          <w:b/>
          <w:bCs/>
          <w:color w:val="4F6F5D"/>
          <w:sz w:val="32"/>
          <w:szCs w:val="32"/>
        </w:rPr>
        <w:t xml:space="preserve">빛 환경에 따른 학교 화단 식물 관리 제안서 루브릭</w:t>
      </w:r>
    </w:p>
    <w:p>
      <w:pPr>
        <w:spacing w:after="180" w:before="0" w:line="250"/>
        <w:jc w:val="center"/>
      </w:pPr>
      <w:r>
        <w:rPr>
          <w:rFonts w:ascii="Paperlogy" w:cs="Paperlogy" w:eastAsia="Paperlogy" w:hAnsi="Paperlogy"/>
          <w:b/>
          <w:bCs/>
          <w:color w:val="4F6F5D"/>
          <w:sz w:val="20"/>
          <w:szCs w:val="20"/>
        </w:rPr>
        <w:t xml:space="preserve">과학 · 총 100점 · 4수준</w:t>
      </w:r>
    </w:p>
    <w:p>
      <w:pPr>
        <w:spacing w:after="70" w:before="60" w:line="250"/>
      </w:pPr>
      <w:r>
        <w:rPr>
          <w:rFonts w:ascii="Paperlogy" w:cs="Paperlogy" w:eastAsia="Paperlogy" w:hAnsi="Paperlogy"/>
          <w:b/>
          <w:bCs/>
          <w:color w:val="4F6F5D"/>
          <w:sz w:val="22"/>
          <w:szCs w:val="22"/>
        </w:rPr>
        <w:t xml:space="preserve">성취기준</w:t>
      </w:r>
    </w:p>
    <w:tbl>
      <w:tblPr>
        <w:tblW w:type="dxa" w:w="9977"/>
        <w:tblBorders>
          <w:top w:val="single" w:color="91A99A" w:sz="6"/>
          <w:left w:val="single" w:color="91A99A" w:sz="6"/>
          <w:bottom w:val="single" w:color="91A99A" w:sz="6"/>
          <w:right w:val="single" w:color="91A99A" w:sz="6"/>
          <w:insideH w:val="single" w:color="91A99A" w:sz="6"/>
          <w:insideV w:val="single" w:color="91A99A" w:sz="6"/>
        </w:tblBorders>
        <w:tblLayout w:type="fixed"/>
      </w:tblPr>
      <w:tblGrid>
        <w:gridCol w:w="1800"/>
        <w:gridCol w:w="8177"/>
      </w:tblGrid>
      <w:tr>
        <w:trPr>
          <w:cantSplit/>
          <w:tblHeader/>
        </w:trPr>
        <w:tc>
          <w:tcPr>
            <w:tcW w:type="dxa" w:w="1800"/>
            <w:shd w:fill="DDE9E1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40" w:before="0" w:line="250"/>
              <w:jc w:val="center"/>
            </w:pPr>
            <w:r>
              <w:rPr>
                <w:rFonts w:ascii="Paperlogy" w:cs="Paperlogy" w:eastAsia="Paperlogy" w:hAnsi="Paperlogy"/>
                <w:b/>
                <w:bCs/>
                <w:color w:val="4F6F5D"/>
                <w:sz w:val="18"/>
                <w:szCs w:val="18"/>
              </w:rPr>
              <w:t xml:space="preserve">성취기준</w:t>
            </w:r>
          </w:p>
        </w:tc>
        <w:tc>
          <w:tcPr>
            <w:tcW w:type="dxa" w:w="8177"/>
            <w:shd w:fill="DDE9E1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40" w:before="0" w:line="250"/>
              <w:jc w:val="center"/>
            </w:pPr>
            <w:r>
              <w:rPr>
                <w:rFonts w:ascii="Paperlogy" w:cs="Paperlogy" w:eastAsia="Paperlogy" w:hAnsi="Paperlogy"/>
                <w:b/>
                <w:bCs/>
                <w:color w:val="4F6F5D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5"/>
              <w:left w:type="dxa" w:w="90"/>
              <w:bottom w:type="dxa" w:w="75"/>
              <w:right w:type="dxa" w:w="90"/>
            </w:tcMar>
            <w:vAlign w:val="top"/>
          </w:tcPr>
          <w:p>
            <w:pPr>
              <w:spacing w:after="40" w:before="0" w:line="250"/>
            </w:pPr>
            <w:r>
              <w:rPr>
                <w:rFonts w:ascii="Paperlogy" w:cs="Paperlogy" w:eastAsia="Paperlogy" w:hAnsi="Paperlogy"/>
                <w:b/>
                <w:bCs/>
                <w:color w:val="4F6F5D"/>
                <w:sz w:val="18"/>
                <w:szCs w:val="18"/>
              </w:rPr>
              <w:t xml:space="preserve">[9과12-01]</w:t>
            </w:r>
          </w:p>
        </w:tc>
        <w:tc>
          <w:tcPr>
            <w:tcW w:type="dxa" w:w="8177"/>
            <w:tcMar>
              <w:top w:type="dxa" w:w="75"/>
              <w:left w:type="dxa" w:w="90"/>
              <w:bottom w:type="dxa" w:w="75"/>
              <w:right w:type="dxa" w:w="90"/>
            </w:tcMar>
            <w:vAlign w:val="top"/>
          </w:tcPr>
          <w:p>
            <w:pPr>
              <w:spacing w:after="40" w:before="0" w:line="25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광합성 과정을 이해하고, 환경 요인과 광합성의 관계를 탐구하는 실험을 설계할 수 있다.</w:t>
            </w:r>
          </w:p>
        </w:tc>
      </w:tr>
    </w:tbl>
    <w:p>
      <w:pPr>
        <w:spacing w:after="70" w:before="180" w:line="250"/>
      </w:pPr>
      <w:r>
        <w:rPr>
          <w:rFonts w:ascii="Paperlogy" w:cs="Paperlogy" w:eastAsia="Paperlogy" w:hAnsi="Paperlogy"/>
          <w:b/>
          <w:bCs/>
          <w:color w:val="4F6F5D"/>
          <w:sz w:val="22"/>
          <w:szCs w:val="22"/>
        </w:rPr>
        <w:t xml:space="preserve">점수형 분석적 루브릭</w:t>
      </w:r>
    </w:p>
    <w:tbl>
      <w:tblPr>
        <w:tblW w:type="dxa" w:w="9977"/>
        <w:tblBorders>
          <w:top w:val="single" w:color="91A99A" w:sz="6"/>
          <w:left w:val="single" w:color="91A99A" w:sz="6"/>
          <w:bottom w:val="single" w:color="91A99A" w:sz="6"/>
          <w:right w:val="single" w:color="91A99A" w:sz="6"/>
          <w:insideH w:val="single" w:color="91A99A" w:sz="6"/>
          <w:insideV w:val="single" w:color="91A99A" w:sz="6"/>
        </w:tblBorders>
        <w:tblLayout w:type="fixed"/>
      </w:tblPr>
      <w:tblGrid>
        <w:gridCol w:w="2800"/>
        <w:gridCol w:w="1795"/>
        <w:gridCol w:w="1794"/>
        <w:gridCol w:w="1794"/>
        <w:gridCol w:w="1794"/>
      </w:tblGrid>
      <w:tr>
        <w:trPr>
          <w:cantSplit/>
          <w:tblHeader/>
        </w:trPr>
        <w:tc>
          <w:tcPr>
            <w:tcW w:type="dxa" w:w="2800"/>
            <w:shd w:fill="DDE9E1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40" w:before="0" w:line="250"/>
              <w:jc w:val="center"/>
            </w:pPr>
            <w:r>
              <w:rPr>
                <w:rFonts w:ascii="Paperlogy" w:cs="Paperlogy" w:eastAsia="Paperlogy" w:hAnsi="Paperlogy"/>
                <w:b/>
                <w:bCs/>
                <w:color w:val="4F6F5D"/>
                <w:sz w:val="18"/>
                <w:szCs w:val="18"/>
              </w:rPr>
              <w:t xml:space="preserve">평가영역</w:t>
            </w:r>
          </w:p>
        </w:tc>
        <w:tc>
          <w:tcPr>
            <w:tcW w:type="dxa" w:w="1795"/>
            <w:shd w:fill="DDE9E1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40" w:before="0" w:line="250"/>
              <w:jc w:val="center"/>
            </w:pPr>
            <w:r>
              <w:rPr>
                <w:rFonts w:ascii="Paperlogy" w:cs="Paperlogy" w:eastAsia="Paperlogy" w:hAnsi="Paperlogy"/>
                <w:b/>
                <w:bCs/>
                <w:color w:val="4F6F5D"/>
                <w:sz w:val="18"/>
                <w:szCs w:val="18"/>
              </w:rPr>
              <w:t xml:space="preserve">매우 충실</w:t>
            </w:r>
          </w:p>
        </w:tc>
        <w:tc>
          <w:tcPr>
            <w:tcW w:type="dxa" w:w="1794"/>
            <w:shd w:fill="DDE9E1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40" w:before="0" w:line="250"/>
              <w:jc w:val="center"/>
            </w:pPr>
            <w:r>
              <w:rPr>
                <w:rFonts w:ascii="Paperlogy" w:cs="Paperlogy" w:eastAsia="Paperlogy" w:hAnsi="Paperlogy"/>
                <w:b/>
                <w:bCs/>
                <w:color w:val="4F6F5D"/>
                <w:sz w:val="18"/>
                <w:szCs w:val="18"/>
              </w:rPr>
              <w:t xml:space="preserve">충실</w:t>
            </w:r>
          </w:p>
        </w:tc>
        <w:tc>
          <w:tcPr>
            <w:tcW w:type="dxa" w:w="1794"/>
            <w:shd w:fill="DDE9E1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40" w:before="0" w:line="250"/>
              <w:jc w:val="center"/>
            </w:pPr>
            <w:r>
              <w:rPr>
                <w:rFonts w:ascii="Paperlogy" w:cs="Paperlogy" w:eastAsia="Paperlogy" w:hAnsi="Paperlogy"/>
                <w:b/>
                <w:bCs/>
                <w:color w:val="4F6F5D"/>
                <w:sz w:val="18"/>
                <w:szCs w:val="18"/>
              </w:rPr>
              <w:t xml:space="preserve">보완 필요</w:t>
            </w:r>
          </w:p>
        </w:tc>
        <w:tc>
          <w:tcPr>
            <w:tcW w:type="dxa" w:w="1794"/>
            <w:shd w:fill="DDE9E1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40" w:before="0" w:line="250"/>
              <w:jc w:val="center"/>
            </w:pPr>
            <w:r>
              <w:rPr>
                <w:rFonts w:ascii="Paperlogy" w:cs="Paperlogy" w:eastAsia="Paperlogy" w:hAnsi="Paperlogy"/>
                <w:b/>
                <w:bCs/>
                <w:color w:val="4F6F5D"/>
                <w:sz w:val="18"/>
                <w:szCs w:val="18"/>
              </w:rPr>
              <w:t xml:space="preserve">기초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75"/>
              <w:left w:type="dxa" w:w="90"/>
              <w:bottom w:type="dxa" w:w="75"/>
              <w:right w:type="dxa" w:w="90"/>
            </w:tcMar>
            <w:vAlign w:val="top"/>
          </w:tcPr>
          <w:p>
            <w:pPr>
              <w:spacing w:after="40" w:before="0" w:line="250"/>
            </w:pPr>
            <w:r>
              <w:rPr>
                <w:rFonts w:ascii="Paperlogy" w:cs="Paperlogy" w:eastAsia="Paperlogy" w:hAnsi="Paperlogy"/>
                <w:b/>
                <w:bCs/>
                <w:color w:val="4F6F5D"/>
                <w:sz w:val="18"/>
                <w:szCs w:val="18"/>
              </w:rPr>
              <w:t xml:space="preserve">관찰 자료의 정확한 정리 · 20점</w:t>
            </w:r>
          </w:p>
          <w:p>
            <w:pPr>
              <w:spacing w:after="40" w:before="0" w:line="25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빛의 세기별 수초 기포 수 관찰 결과를 반복 측정해 표와 그래프로 명확하게 정리한다.</w:t>
            </w:r>
          </w:p>
          <w:p>
            <w:pPr>
              <w:spacing w:after="40" w:before="0" w:line="25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4F6F5D"/>
                <w:sz w:val="16"/>
                <w:szCs w:val="16"/>
              </w:rPr>
              <w:t xml:space="preserve">성취기준 · 9과12-01</w:t>
            </w:r>
          </w:p>
          <w:p>
            <w:pPr>
              <w:spacing w:after="40" w:before="0" w:line="25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6"/>
                <w:szCs w:val="16"/>
              </w:rPr>
              <w:t xml:space="preserve">확인 증거 · 빛의 세기별 기포 수 3회 측정값, 평균값, 표와 그래프</w:t>
            </w:r>
          </w:p>
        </w:tc>
        <w:tc>
          <w:tcPr>
            <w:tcW w:type="dxa" w:w="1795"/>
            <w:tcMar>
              <w:top w:type="dxa" w:w="75"/>
              <w:left w:type="dxa" w:w="90"/>
              <w:bottom w:type="dxa" w:w="75"/>
              <w:right w:type="dxa" w:w="90"/>
            </w:tcMar>
            <w:vAlign w:val="top"/>
          </w:tcPr>
          <w:p>
            <w:pPr>
              <w:spacing w:after="40" w:before="0" w:line="250"/>
            </w:pPr>
            <w:r>
              <w:rPr>
                <w:rFonts w:ascii="Paperlogy" w:cs="Paperlogy" w:eastAsia="Paperlogy" w:hAnsi="Paperlogy"/>
                <w:b/>
                <w:bCs/>
                <w:color w:val="4F6F5D"/>
                <w:sz w:val="18"/>
                <w:szCs w:val="18"/>
              </w:rPr>
              <w:t xml:space="preserve">매우 충실 · 20점</w:t>
            </w:r>
          </w:p>
          <w:p>
            <w:pPr>
              <w:spacing w:after="40" w:before="0" w:line="25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세 조건의 기포 수를 3회 이상 정확히 기록하고, 평균값이 있는 표와 축·단위가 분명한 그래프를 완성했다.</w:t>
            </w:r>
          </w:p>
        </w:tc>
        <w:tc>
          <w:tcPr>
            <w:tcW w:type="dxa" w:w="1794"/>
            <w:tcMar>
              <w:top w:type="dxa" w:w="75"/>
              <w:left w:type="dxa" w:w="90"/>
              <w:bottom w:type="dxa" w:w="75"/>
              <w:right w:type="dxa" w:w="90"/>
            </w:tcMar>
            <w:vAlign w:val="top"/>
          </w:tcPr>
          <w:p>
            <w:pPr>
              <w:spacing w:after="40" w:before="0" w:line="250"/>
            </w:pPr>
            <w:r>
              <w:rPr>
                <w:rFonts w:ascii="Paperlogy" w:cs="Paperlogy" w:eastAsia="Paperlogy" w:hAnsi="Paperlogy"/>
                <w:b/>
                <w:bCs/>
                <w:color w:val="4F6F5D"/>
                <w:sz w:val="18"/>
                <w:szCs w:val="18"/>
              </w:rPr>
              <w:t xml:space="preserve">충실 · 15점</w:t>
            </w:r>
          </w:p>
          <w:p>
            <w:pPr>
              <w:spacing w:after="40" w:before="0" w:line="25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세 조건의 기포 수를 기록하고, 평균값 또는 표·그래프를 대체로 정확하게 정리했다.</w:t>
            </w:r>
          </w:p>
        </w:tc>
        <w:tc>
          <w:tcPr>
            <w:tcW w:type="dxa" w:w="1794"/>
            <w:tcMar>
              <w:top w:type="dxa" w:w="75"/>
              <w:left w:type="dxa" w:w="90"/>
              <w:bottom w:type="dxa" w:w="75"/>
              <w:right w:type="dxa" w:w="90"/>
            </w:tcMar>
            <w:vAlign w:val="top"/>
          </w:tcPr>
          <w:p>
            <w:pPr>
              <w:spacing w:after="40" w:before="0" w:line="250"/>
            </w:pPr>
            <w:r>
              <w:rPr>
                <w:rFonts w:ascii="Paperlogy" w:cs="Paperlogy" w:eastAsia="Paperlogy" w:hAnsi="Paperlogy"/>
                <w:b/>
                <w:bCs/>
                <w:color w:val="4F6F5D"/>
                <w:sz w:val="18"/>
                <w:szCs w:val="18"/>
              </w:rPr>
              <w:t xml:space="preserve">보완 필요 · 10점</w:t>
            </w:r>
          </w:p>
          <w:p>
            <w:pPr>
              <w:spacing w:after="40" w:before="0" w:line="25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일부 조건의 관찰값이나 표·그래프가 빠졌으나, 빛의 세기별 차이를 확인할 수 있게 정리했다.</w:t>
            </w:r>
          </w:p>
        </w:tc>
        <w:tc>
          <w:tcPr>
            <w:tcW w:type="dxa" w:w="1794"/>
            <w:tcMar>
              <w:top w:type="dxa" w:w="75"/>
              <w:left w:type="dxa" w:w="90"/>
              <w:bottom w:type="dxa" w:w="75"/>
              <w:right w:type="dxa" w:w="90"/>
            </w:tcMar>
            <w:vAlign w:val="top"/>
          </w:tcPr>
          <w:p>
            <w:pPr>
              <w:spacing w:after="40" w:before="0" w:line="250"/>
            </w:pPr>
            <w:r>
              <w:rPr>
                <w:rFonts w:ascii="Paperlogy" w:cs="Paperlogy" w:eastAsia="Paperlogy" w:hAnsi="Paperlogy"/>
                <w:b/>
                <w:bCs/>
                <w:color w:val="4F6F5D"/>
                <w:sz w:val="18"/>
                <w:szCs w:val="18"/>
              </w:rPr>
              <w:t xml:space="preserve">기초 · 5점</w:t>
            </w:r>
          </w:p>
          <w:p>
            <w:pPr>
              <w:spacing w:after="40" w:before="0" w:line="25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관찰값 기록 또는 표·그래프가 부족해 조건별 차이를 확인하기 어렵다.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75"/>
              <w:left w:type="dxa" w:w="90"/>
              <w:bottom w:type="dxa" w:w="75"/>
              <w:right w:type="dxa" w:w="90"/>
            </w:tcMar>
            <w:vAlign w:val="top"/>
          </w:tcPr>
          <w:p>
            <w:pPr>
              <w:spacing w:after="40" w:before="0" w:line="250"/>
            </w:pPr>
            <w:r>
              <w:rPr>
                <w:rFonts w:ascii="Paperlogy" w:cs="Paperlogy" w:eastAsia="Paperlogy" w:hAnsi="Paperlogy"/>
                <w:b/>
                <w:bCs/>
                <w:color w:val="4F6F5D"/>
                <w:sz w:val="18"/>
                <w:szCs w:val="18"/>
              </w:rPr>
              <w:t xml:space="preserve">광합성 관계의 과학적 해석 · 30점</w:t>
            </w:r>
          </w:p>
          <w:p>
            <w:pPr>
              <w:spacing w:after="40" w:before="0" w:line="25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관찰 자료를 근거로 빛의 세기와 광합성 정도의 관계를 과학 개념과 연결해 설명한다.</w:t>
            </w:r>
          </w:p>
          <w:p>
            <w:pPr>
              <w:spacing w:after="40" w:before="0" w:line="25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4F6F5D"/>
                <w:sz w:val="16"/>
                <w:szCs w:val="16"/>
              </w:rPr>
              <w:t xml:space="preserve">성취기준 · 9과12-01</w:t>
            </w:r>
          </w:p>
          <w:p>
            <w:pPr>
              <w:spacing w:after="40" w:before="0" w:line="25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6"/>
                <w:szCs w:val="16"/>
              </w:rPr>
              <w:t xml:space="preserve">확인 증거 · 기포 수 자료를 근거로 한 빛의 세기와 광합성 정도의 관계 설명</w:t>
            </w:r>
          </w:p>
        </w:tc>
        <w:tc>
          <w:tcPr>
            <w:tcW w:type="dxa" w:w="1795"/>
            <w:tcMar>
              <w:top w:type="dxa" w:w="75"/>
              <w:left w:type="dxa" w:w="90"/>
              <w:bottom w:type="dxa" w:w="75"/>
              <w:right w:type="dxa" w:w="90"/>
            </w:tcMar>
            <w:vAlign w:val="top"/>
          </w:tcPr>
          <w:p>
            <w:pPr>
              <w:spacing w:after="40" w:before="0" w:line="250"/>
            </w:pPr>
            <w:r>
              <w:rPr>
                <w:rFonts w:ascii="Paperlogy" w:cs="Paperlogy" w:eastAsia="Paperlogy" w:hAnsi="Paperlogy"/>
                <w:b/>
                <w:bCs/>
                <w:color w:val="4F6F5D"/>
                <w:sz w:val="18"/>
                <w:szCs w:val="18"/>
              </w:rPr>
              <w:t xml:space="preserve">매우 충실 · 30점</w:t>
            </w:r>
          </w:p>
          <w:p>
            <w:pPr>
              <w:spacing w:after="40" w:before="0" w:line="25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기포 수 자료를 두 가지 이상 인용해 빛의 세기와 광합성 정도의 관계를 정확히 설명하고, 자료의 한계도 언급했다.</w:t>
            </w:r>
          </w:p>
        </w:tc>
        <w:tc>
          <w:tcPr>
            <w:tcW w:type="dxa" w:w="1794"/>
            <w:tcMar>
              <w:top w:type="dxa" w:w="75"/>
              <w:left w:type="dxa" w:w="90"/>
              <w:bottom w:type="dxa" w:w="75"/>
              <w:right w:type="dxa" w:w="90"/>
            </w:tcMar>
            <w:vAlign w:val="top"/>
          </w:tcPr>
          <w:p>
            <w:pPr>
              <w:spacing w:after="40" w:before="0" w:line="250"/>
            </w:pPr>
            <w:r>
              <w:rPr>
                <w:rFonts w:ascii="Paperlogy" w:cs="Paperlogy" w:eastAsia="Paperlogy" w:hAnsi="Paperlogy"/>
                <w:b/>
                <w:bCs/>
                <w:color w:val="4F6F5D"/>
                <w:sz w:val="18"/>
                <w:szCs w:val="18"/>
              </w:rPr>
              <w:t xml:space="preserve">충실 · 22점</w:t>
            </w:r>
          </w:p>
          <w:p>
            <w:pPr>
              <w:spacing w:after="40" w:before="0" w:line="25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기포 수 자료를 근거로 빛의 세기와 광합성 정도의 관계를 대체로 정확히 설명했다.</w:t>
            </w:r>
          </w:p>
        </w:tc>
        <w:tc>
          <w:tcPr>
            <w:tcW w:type="dxa" w:w="1794"/>
            <w:tcMar>
              <w:top w:type="dxa" w:w="75"/>
              <w:left w:type="dxa" w:w="90"/>
              <w:bottom w:type="dxa" w:w="75"/>
              <w:right w:type="dxa" w:w="90"/>
            </w:tcMar>
            <w:vAlign w:val="top"/>
          </w:tcPr>
          <w:p>
            <w:pPr>
              <w:spacing w:after="40" w:before="0" w:line="250"/>
            </w:pPr>
            <w:r>
              <w:rPr>
                <w:rFonts w:ascii="Paperlogy" w:cs="Paperlogy" w:eastAsia="Paperlogy" w:hAnsi="Paperlogy"/>
                <w:b/>
                <w:bCs/>
                <w:color w:val="4F6F5D"/>
                <w:sz w:val="18"/>
                <w:szCs w:val="18"/>
              </w:rPr>
              <w:t xml:space="preserve">보완 필요 · 14점</w:t>
            </w:r>
          </w:p>
          <w:p>
            <w:pPr>
              <w:spacing w:after="40" w:before="0" w:line="25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빛의 세기와 광합성의 관계는 설명했으나, 관찰 자료와의 연결 또는 과학 개념 설명이 부족하다.</w:t>
            </w:r>
          </w:p>
        </w:tc>
        <w:tc>
          <w:tcPr>
            <w:tcW w:type="dxa" w:w="1794"/>
            <w:tcMar>
              <w:top w:type="dxa" w:w="75"/>
              <w:left w:type="dxa" w:w="90"/>
              <w:bottom w:type="dxa" w:w="75"/>
              <w:right w:type="dxa" w:w="90"/>
            </w:tcMar>
            <w:vAlign w:val="top"/>
          </w:tcPr>
          <w:p>
            <w:pPr>
              <w:spacing w:after="40" w:before="0" w:line="250"/>
            </w:pPr>
            <w:r>
              <w:rPr>
                <w:rFonts w:ascii="Paperlogy" w:cs="Paperlogy" w:eastAsia="Paperlogy" w:hAnsi="Paperlogy"/>
                <w:b/>
                <w:bCs/>
                <w:color w:val="4F6F5D"/>
                <w:sz w:val="18"/>
                <w:szCs w:val="18"/>
              </w:rPr>
              <w:t xml:space="preserve">기초 · 6점</w:t>
            </w:r>
          </w:p>
          <w:p>
            <w:pPr>
              <w:spacing w:after="40" w:before="0" w:line="25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관찰 자료를 근거로 관계를 설명하지 못했거나, 광합성 개념에 중요한 오류가 있다.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75"/>
              <w:left w:type="dxa" w:w="90"/>
              <w:bottom w:type="dxa" w:w="75"/>
              <w:right w:type="dxa" w:w="90"/>
            </w:tcMar>
            <w:vAlign w:val="top"/>
          </w:tcPr>
          <w:p>
            <w:pPr>
              <w:spacing w:after="40" w:before="0" w:line="250"/>
            </w:pPr>
            <w:r>
              <w:rPr>
                <w:rFonts w:ascii="Paperlogy" w:cs="Paperlogy" w:eastAsia="Paperlogy" w:hAnsi="Paperlogy"/>
                <w:b/>
                <w:bCs/>
                <w:color w:val="4F6F5D"/>
                <w:sz w:val="18"/>
                <w:szCs w:val="18"/>
              </w:rPr>
              <w:t xml:space="preserve">식물 관리 방안의 타당성 · 30점</w:t>
            </w:r>
          </w:p>
          <w:p>
            <w:pPr>
              <w:spacing w:after="40" w:before="0" w:line="25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관찰 자료와 광합성 원리를 바탕으로 학교 화단의 빛 환경을 개선하는 실현 가능한 방안을 제안한다.</w:t>
            </w:r>
          </w:p>
          <w:p>
            <w:pPr>
              <w:spacing w:after="40" w:before="0" w:line="25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4F6F5D"/>
                <w:sz w:val="16"/>
                <w:szCs w:val="16"/>
              </w:rPr>
              <w:t xml:space="preserve">성취기준 · 9과12-01</w:t>
            </w:r>
          </w:p>
          <w:p>
            <w:pPr>
              <w:spacing w:after="40" w:before="0" w:line="25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6"/>
                <w:szCs w:val="16"/>
              </w:rPr>
              <w:t xml:space="preserve">확인 증거 · 학교 화단의 식물 위치·차광·조명에 관한 구체적 관리 제안과 근거</w:t>
            </w:r>
          </w:p>
        </w:tc>
        <w:tc>
          <w:tcPr>
            <w:tcW w:type="dxa" w:w="1795"/>
            <w:tcMar>
              <w:top w:type="dxa" w:w="75"/>
              <w:left w:type="dxa" w:w="90"/>
              <w:bottom w:type="dxa" w:w="75"/>
              <w:right w:type="dxa" w:w="90"/>
            </w:tcMar>
            <w:vAlign w:val="top"/>
          </w:tcPr>
          <w:p>
            <w:pPr>
              <w:spacing w:after="40" w:before="0" w:line="250"/>
            </w:pPr>
            <w:r>
              <w:rPr>
                <w:rFonts w:ascii="Paperlogy" w:cs="Paperlogy" w:eastAsia="Paperlogy" w:hAnsi="Paperlogy"/>
                <w:b/>
                <w:bCs/>
                <w:color w:val="4F6F5D"/>
                <w:sz w:val="18"/>
                <w:szCs w:val="18"/>
              </w:rPr>
              <w:t xml:space="preserve">매우 충실 · 30점</w:t>
            </w:r>
          </w:p>
          <w:p>
            <w:pPr>
              <w:spacing w:after="40" w:before="0" w:line="25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학교 화단의 구체적 위치 또는 식물을 대상으로 실현 가능한 관리 방안을 제안하고, 관찰 자료와 광합성 원리로 근거를 충분히 설명했다.</w:t>
            </w:r>
          </w:p>
        </w:tc>
        <w:tc>
          <w:tcPr>
            <w:tcW w:type="dxa" w:w="1794"/>
            <w:tcMar>
              <w:top w:type="dxa" w:w="75"/>
              <w:left w:type="dxa" w:w="90"/>
              <w:bottom w:type="dxa" w:w="75"/>
              <w:right w:type="dxa" w:w="90"/>
            </w:tcMar>
            <w:vAlign w:val="top"/>
          </w:tcPr>
          <w:p>
            <w:pPr>
              <w:spacing w:after="40" w:before="0" w:line="250"/>
            </w:pPr>
            <w:r>
              <w:rPr>
                <w:rFonts w:ascii="Paperlogy" w:cs="Paperlogy" w:eastAsia="Paperlogy" w:hAnsi="Paperlogy"/>
                <w:b/>
                <w:bCs/>
                <w:color w:val="4F6F5D"/>
                <w:sz w:val="18"/>
                <w:szCs w:val="18"/>
              </w:rPr>
              <w:t xml:space="preserve">충실 · 22점</w:t>
            </w:r>
          </w:p>
          <w:p>
            <w:pPr>
              <w:spacing w:after="40" w:before="0" w:line="25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실현 가능한 관리 방안을 제안하고, 관찰 자료 또는 광합성 원리와 연결해 근거를 설명했다.</w:t>
            </w:r>
          </w:p>
        </w:tc>
        <w:tc>
          <w:tcPr>
            <w:tcW w:type="dxa" w:w="1794"/>
            <w:tcMar>
              <w:top w:type="dxa" w:w="75"/>
              <w:left w:type="dxa" w:w="90"/>
              <w:bottom w:type="dxa" w:w="75"/>
              <w:right w:type="dxa" w:w="90"/>
            </w:tcMar>
            <w:vAlign w:val="top"/>
          </w:tcPr>
          <w:p>
            <w:pPr>
              <w:spacing w:after="40" w:before="0" w:line="250"/>
            </w:pPr>
            <w:r>
              <w:rPr>
                <w:rFonts w:ascii="Paperlogy" w:cs="Paperlogy" w:eastAsia="Paperlogy" w:hAnsi="Paperlogy"/>
                <w:b/>
                <w:bCs/>
                <w:color w:val="4F6F5D"/>
                <w:sz w:val="18"/>
                <w:szCs w:val="18"/>
              </w:rPr>
              <w:t xml:space="preserve">보완 필요 · 14점</w:t>
            </w:r>
          </w:p>
          <w:p>
            <w:pPr>
              <w:spacing w:after="40" w:before="0" w:line="25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관리 방안은 제안했으나, 대상·실행 방법 또는 과학적 근거가 구체적이지 않다.</w:t>
            </w:r>
          </w:p>
        </w:tc>
        <w:tc>
          <w:tcPr>
            <w:tcW w:type="dxa" w:w="1794"/>
            <w:tcMar>
              <w:top w:type="dxa" w:w="75"/>
              <w:left w:type="dxa" w:w="90"/>
              <w:bottom w:type="dxa" w:w="75"/>
              <w:right w:type="dxa" w:w="90"/>
            </w:tcMar>
            <w:vAlign w:val="top"/>
          </w:tcPr>
          <w:p>
            <w:pPr>
              <w:spacing w:after="40" w:before="0" w:line="250"/>
            </w:pPr>
            <w:r>
              <w:rPr>
                <w:rFonts w:ascii="Paperlogy" w:cs="Paperlogy" w:eastAsia="Paperlogy" w:hAnsi="Paperlogy"/>
                <w:b/>
                <w:bCs/>
                <w:color w:val="4F6F5D"/>
                <w:sz w:val="18"/>
                <w:szCs w:val="18"/>
              </w:rPr>
              <w:t xml:space="preserve">기초 · 6점</w:t>
            </w:r>
          </w:p>
          <w:p>
            <w:pPr>
              <w:spacing w:after="40" w:before="0" w:line="25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관리 방안이 관찰 자료와 연결되지 않거나 실행 방법을 확인하기 어렵다.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75"/>
              <w:left w:type="dxa" w:w="90"/>
              <w:bottom w:type="dxa" w:w="75"/>
              <w:right w:type="dxa" w:w="90"/>
            </w:tcMar>
            <w:vAlign w:val="top"/>
          </w:tcPr>
          <w:p>
            <w:pPr>
              <w:spacing w:after="40" w:before="0" w:line="250"/>
            </w:pPr>
            <w:r>
              <w:rPr>
                <w:rFonts w:ascii="Paperlogy" w:cs="Paperlogy" w:eastAsia="Paperlogy" w:hAnsi="Paperlogy"/>
                <w:b/>
                <w:bCs/>
                <w:color w:val="4F6F5D"/>
                <w:sz w:val="18"/>
                <w:szCs w:val="18"/>
              </w:rPr>
              <w:t xml:space="preserve">피드백 반영 과정 · 20점</w:t>
            </w:r>
          </w:p>
          <w:p>
            <w:pPr>
              <w:spacing w:after="40" w:before="0" w:line="25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초안, 동료 피드백, 수정본과 수정 이유를 남겨 제안서를 보완하는 과정을 보여 준다.</w:t>
            </w:r>
          </w:p>
          <w:p>
            <w:pPr>
              <w:spacing w:after="40" w:before="0" w:line="25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4F6F5D"/>
                <w:sz w:val="16"/>
                <w:szCs w:val="16"/>
              </w:rPr>
              <w:t xml:space="preserve">성취기준 · 9과12-01</w:t>
            </w:r>
          </w:p>
          <w:p>
            <w:pPr>
              <w:spacing w:after="40" w:before="0" w:line="25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6"/>
                <w:szCs w:val="16"/>
              </w:rPr>
              <w:t xml:space="preserve">확인 증거 · 초안, 동료 피드백 표시, 수정본, 수정 이유</w:t>
            </w:r>
          </w:p>
        </w:tc>
        <w:tc>
          <w:tcPr>
            <w:tcW w:type="dxa" w:w="1795"/>
            <w:tcMar>
              <w:top w:type="dxa" w:w="75"/>
              <w:left w:type="dxa" w:w="90"/>
              <w:bottom w:type="dxa" w:w="75"/>
              <w:right w:type="dxa" w:w="90"/>
            </w:tcMar>
            <w:vAlign w:val="top"/>
          </w:tcPr>
          <w:p>
            <w:pPr>
              <w:spacing w:after="40" w:before="0" w:line="250"/>
            </w:pPr>
            <w:r>
              <w:rPr>
                <w:rFonts w:ascii="Paperlogy" w:cs="Paperlogy" w:eastAsia="Paperlogy" w:hAnsi="Paperlogy"/>
                <w:b/>
                <w:bCs/>
                <w:color w:val="4F6F5D"/>
                <w:sz w:val="18"/>
                <w:szCs w:val="18"/>
              </w:rPr>
              <w:t xml:space="preserve">매우 충실 · 20점</w:t>
            </w:r>
          </w:p>
          <w:p>
            <w:pPr>
              <w:spacing w:after="40" w:before="0" w:line="25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초안·동료 피드백·수정본을 모두 제출하고, 피드백을 어떻게 반영했는지 수정 이유를 구체적으로 설명했다.</w:t>
            </w:r>
          </w:p>
        </w:tc>
        <w:tc>
          <w:tcPr>
            <w:tcW w:type="dxa" w:w="1794"/>
            <w:tcMar>
              <w:top w:type="dxa" w:w="75"/>
              <w:left w:type="dxa" w:w="90"/>
              <w:bottom w:type="dxa" w:w="75"/>
              <w:right w:type="dxa" w:w="90"/>
            </w:tcMar>
            <w:vAlign w:val="top"/>
          </w:tcPr>
          <w:p>
            <w:pPr>
              <w:spacing w:after="40" w:before="0" w:line="250"/>
            </w:pPr>
            <w:r>
              <w:rPr>
                <w:rFonts w:ascii="Paperlogy" w:cs="Paperlogy" w:eastAsia="Paperlogy" w:hAnsi="Paperlogy"/>
                <w:b/>
                <w:bCs/>
                <w:color w:val="4F6F5D"/>
                <w:sz w:val="18"/>
                <w:szCs w:val="18"/>
              </w:rPr>
              <w:t xml:space="preserve">충실 · 15점</w:t>
            </w:r>
          </w:p>
          <w:p>
            <w:pPr>
              <w:spacing w:after="40" w:before="0" w:line="25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초안·동료 피드백·수정본을 제출하고, 수정한 내용을 설명했다.</w:t>
            </w:r>
          </w:p>
        </w:tc>
        <w:tc>
          <w:tcPr>
            <w:tcW w:type="dxa" w:w="1794"/>
            <w:tcMar>
              <w:top w:type="dxa" w:w="75"/>
              <w:left w:type="dxa" w:w="90"/>
              <w:bottom w:type="dxa" w:w="75"/>
              <w:right w:type="dxa" w:w="90"/>
            </w:tcMar>
            <w:vAlign w:val="top"/>
          </w:tcPr>
          <w:p>
            <w:pPr>
              <w:spacing w:after="40" w:before="0" w:line="250"/>
            </w:pPr>
            <w:r>
              <w:rPr>
                <w:rFonts w:ascii="Paperlogy" w:cs="Paperlogy" w:eastAsia="Paperlogy" w:hAnsi="Paperlogy"/>
                <w:b/>
                <w:bCs/>
                <w:color w:val="4F6F5D"/>
                <w:sz w:val="18"/>
                <w:szCs w:val="18"/>
              </w:rPr>
              <w:t xml:space="preserve">보완 필요 · 10점</w:t>
            </w:r>
          </w:p>
          <w:p>
            <w:pPr>
              <w:spacing w:after="40" w:before="0" w:line="25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초안과 수정본은 있으나, 피드백 표시 또는 수정 이유가 일부 부족하다.</w:t>
            </w:r>
          </w:p>
        </w:tc>
        <w:tc>
          <w:tcPr>
            <w:tcW w:type="dxa" w:w="1794"/>
            <w:tcMar>
              <w:top w:type="dxa" w:w="75"/>
              <w:left w:type="dxa" w:w="90"/>
              <w:bottom w:type="dxa" w:w="75"/>
              <w:right w:type="dxa" w:w="90"/>
            </w:tcMar>
            <w:vAlign w:val="top"/>
          </w:tcPr>
          <w:p>
            <w:pPr>
              <w:spacing w:after="40" w:before="0" w:line="250"/>
            </w:pPr>
            <w:r>
              <w:rPr>
                <w:rFonts w:ascii="Paperlogy" w:cs="Paperlogy" w:eastAsia="Paperlogy" w:hAnsi="Paperlogy"/>
                <w:b/>
                <w:bCs/>
                <w:color w:val="4F6F5D"/>
                <w:sz w:val="18"/>
                <w:szCs w:val="18"/>
              </w:rPr>
              <w:t xml:space="preserve">기초 · 5점</w:t>
            </w:r>
          </w:p>
          <w:p>
            <w:pPr>
              <w:spacing w:after="40" w:before="0" w:line="250"/>
            </w:pPr>
            <w:r>
              <w:rPr>
                <w:rFonts w:ascii="Paperlogy" w:cs="Paperlogy" w:eastAsia="Paperlogy" w:hAnsi="Paperlogy"/>
                <w:b w:val="false"/>
                <w:bCs w:val="false"/>
                <w:color w:val="26342D"/>
                <w:sz w:val="18"/>
                <w:szCs w:val="18"/>
              </w:rPr>
              <w:t xml:space="preserve">초안·피드백·수정본 중 필요한 과정 증거가 부족하다.</w:t>
            </w:r>
          </w:p>
        </w:tc>
      </w:tr>
    </w:tbl>
    <w:sectPr>
      <w:pgSz w:w="11905" w:h="16837" w:orient="portrait"/>
      <w:pgMar w:top="963" w:right="963" w:bottom="963" w:left="9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aperlogy" w:cs="Paperlogy" w:eastAsia="Paperlogy" w:hAnsi="Paperlogy"/>
        <w:color w:val="26342D"/>
        <w:sz w:val="18"/>
        <w:szCs w:val="18"/>
      </w:rPr>
    </w:rPrDefault>
    <w:pPrDefault>
      <w:pPr>
        <w:spacing w:after="40" w:line="260"/>
      </w:pPr>
    </w:pPrDefault>
  </w:docDefaults>
  <w:style w:type="paragraph" w:styleId="Title">
    <w:name w:val="Title"/>
    <w:basedOn w:val="Normal"/>
    <w:next w:val="Normal"/>
    <w:qFormat/>
    <w:rPr>
      <w:rFonts w:ascii="Paperlogy" w:cs="Paperlogy" w:eastAsia="Paperlogy" w:hAnsi="Paperlogy"/>
      <w:b/>
      <w:bCs/>
      <w:color w:val="4F6F5D"/>
    </w:rPr>
  </w:style>
  <w:style w:type="paragraph" w:styleId="Heading1">
    <w:name w:val="Heading 1"/>
    <w:basedOn w:val="Normal"/>
    <w:next w:val="Normal"/>
    <w:qFormat/>
    <w:rPr>
      <w:rFonts w:ascii="Paperlogy" w:cs="Paperlogy" w:eastAsia="Paperlogy" w:hAnsi="Paperlogy"/>
      <w:b/>
      <w:bCs/>
      <w:color w:val="4F6F5D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2026-07-13T12:08:28.190Z</dcterms:created>
  <dcterms:modified xsi:type="dcterms:W3CDTF">2026-07-13T12:08:28.190Z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