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758970577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04/01/2021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integração de Saldos de Previa de SPV, Créditos de SPV, Devolução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CRUD padrão : </w:t>
      </w:r>
      <w:bookmarkStart w:id="7" w:name="__DdeLink__485_46216421411"/>
      <w:bookmarkEnd w:id="6"/>
      <w:bookmarkEnd w:id="7"/>
      <w:r>
        <w:rPr/>
        <w:t xml:space="preserve">Put.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Caminho de menu: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ListParagraph"/>
        <w:numPr>
          <w:ilvl w:val="0"/>
          <w:numId w:val="2"/>
        </w:numPr>
        <w:rPr/>
      </w:pPr>
      <w:r>
        <w:rPr>
          <w:b/>
          <w:bCs/>
          <w:i/>
          <w:iCs/>
        </w:rPr>
        <w:t xml:space="preserve">Gerenciar 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Criação de layout para busca de créditos disponíveis.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w:bookmarkStart w:id="16" w:name="__DdeLink__503_3158142327"/>
            <w:bookmarkStart w:id="17" w:name="__DdeLink__503_3158142327"/>
            <w:bookmarkEnd w:id="17"/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8" w:name="__RefHeading___Toc7763_2109533423"/>
      <w:bookmarkStart w:id="19" w:name="_Toc30426533"/>
      <w:bookmarkEnd w:id="18"/>
      <w:bookmarkEnd w:id="19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</w:t>
            </w:r>
          </w:p>
        </w:tc>
      </w:tr>
      <w:tr>
        <w:trPr>
          <w:trHeight w:val="162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20" w:name="__DdeLink__3140_451061681"/>
            <w:r>
              <w:rPr>
                <w:b/>
                <w:bCs/>
              </w:rPr>
              <w:t>RN01</w:t>
            </w:r>
            <w:bookmarkEnd w:id="20"/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Pesquisa de créditos disponíveis e gravação dentro das contas de crédito, conforme classificação.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</w:t>
            </w:r>
            <w:r>
              <w:rPr>
                <w:b/>
                <w:bCs/>
              </w:rPr>
              <w:t>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Importação de saldos para utilização de saldo de SPV na transição do sistema.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7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Ttulo3"/>
        <w:rPr/>
      </w:pPr>
      <w:bookmarkStart w:id="21" w:name="__RefHeading___Toc7765_2109533423"/>
      <w:bookmarkStart w:id="22" w:name="_Toc30426534"/>
      <w:bookmarkEnd w:id="21"/>
      <w:bookmarkEnd w:id="22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3" w:name="__RefHeading___Toc7767_2109533423"/>
      <w:bookmarkStart w:id="24" w:name="_Prot%2525252525252525252525252525252525"/>
      <w:bookmarkStart w:id="25" w:name="_Toc30426535"/>
      <w:bookmarkEnd w:id="23"/>
      <w:bookmarkEnd w:id="24"/>
      <w:bookmarkEnd w:id="25"/>
      <w:r>
        <w:rPr/>
        <w:t>Telas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>
          <w:i w:val="false"/>
          <w:iCs w:val="false"/>
          <w:sz w:val="30"/>
          <w:szCs w:val="30"/>
        </w:rPr>
        <w:t xml:space="preserve">    </w:t>
      </w:r>
      <w:bookmarkStart w:id="26" w:name="__DdeLink__486_3079024354"/>
      <w:r>
        <w:rPr>
          <w:i w:val="false"/>
          <w:iCs w:val="false"/>
          <w:sz w:val="30"/>
          <w:szCs w:val="30"/>
        </w:rPr>
        <w:t xml:space="preserve">      </w:t>
      </w:r>
      <w:bookmarkEnd w:id="26"/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5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sz w:val="17"/>
              <w:szCs w:val="17"/>
            </w:rPr>
            <w:t>CADD002 – Importação geral de Saldos ( Créditos  Previa  Devolução Adiantamento)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CADD002 – Importação geral de Saldos ( Créditos  Previa  Devolução Adiantamento)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3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CADD002 – Importação geral de Saldos ( Créditos  Previa  Devolução Adiantamento)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17460</TotalTime>
  <Application>LibreOffice/6.0.3.2$Windows_X86_64 LibreOffice_project/8f48d515416608e3a835360314dac7e47fd0b821</Application>
  <Pages>5</Pages>
  <Words>255</Words>
  <Characters>1447</Characters>
  <CharactersWithSpaces>1677</CharactersWithSpaces>
  <Paragraphs>87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2021-03-01T18:02:17Z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