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8453906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04/01/2021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 xml:space="preserve">atribuir ponto rede descendente / ascendente.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Meus consultores / Atribuição de pontos por rede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RF01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Possui rede / Descendente / Ascendente.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Cadastro de produtos / Derivações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bookmarkStart w:id="16" w:name="__DdeLink__503_3158142327"/>
            <w:bookmarkEnd w:id="16"/>
            <w:r>
              <w:rPr>
                <w:b/>
                <w:bCs/>
              </w:rPr>
              <w:t>PRC02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Cadastro de acessórios / características. </w:t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7" w:name="__RefHeading___Toc7763_2109533423"/>
      <w:bookmarkStart w:id="18" w:name="_Toc30426533"/>
      <w:bookmarkEnd w:id="17"/>
      <w:bookmarkEnd w:id="18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9" w:name="__DdeLink__3140_451061681"/>
            <w:r>
              <w:rPr>
                <w:b/>
                <w:bCs/>
              </w:rPr>
              <w:t>RN0</w:t>
            </w:r>
            <w:bookmarkEnd w:id="19"/>
            <w:r>
              <w:rPr>
                <w:b/>
                <w:bCs/>
              </w:rPr>
              <w:t>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1.</w:t>
            </w:r>
            <w:r>
              <w:rPr>
                <w:b w:val="false"/>
                <w:bCs w:val="false"/>
              </w:rPr>
              <w:t xml:space="preserve"> Opção para inserir pontos de atribuição na rede descendente por nome. 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 xml:space="preserve">2. </w:t>
            </w:r>
            <w:r>
              <w:rPr>
                <w:b w:val="false"/>
                <w:bCs w:val="false"/>
              </w:rPr>
              <w:t xml:space="preserve">Opção para inserir pontos na rede ascendente por código do DI.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Lista os consultores da rede descente.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Opção para atribuir pontos das compras ( Usuário logado)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RN04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Os pontos de rede ascendentes devem ser adicionados por cpf.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RN05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Este tipo de atribuição aparece na lista do Di / Pai da rede responsável pelo processo de evolução. </w:t>
            </w:r>
          </w:p>
        </w:tc>
      </w:tr>
    </w:tbl>
    <w:p>
      <w:pPr>
        <w:pStyle w:val="Ttulo3"/>
        <w:rPr/>
      </w:pPr>
      <w:bookmarkStart w:id="20" w:name="__RefHeading___Toc7765_2109533423"/>
      <w:bookmarkStart w:id="21" w:name="_Toc30426534"/>
      <w:bookmarkEnd w:id="20"/>
      <w:bookmarkEnd w:id="21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2" w:name="__RefHeading___Toc7767_2109533423"/>
      <w:bookmarkStart w:id="23" w:name="_Toc30426535"/>
      <w:bookmarkStart w:id="24" w:name="_Prot%2525252525252525252525252525252525"/>
      <w:bookmarkEnd w:id="22"/>
      <w:bookmarkEnd w:id="23"/>
      <w:bookmarkEnd w:id="24"/>
      <w:r>
        <w:rPr/>
        <w:t>Telas: Modelo</w:t>
      </w:r>
    </w:p>
    <w:p>
      <w:pPr>
        <w:pStyle w:val="Normal"/>
        <w:rPr/>
      </w:pPr>
      <w:r>
        <w:rPr>
          <w:b/>
          <w:bCs/>
        </w:rPr>
        <w:t>4.1 Lista / Rede Descendente: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66573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4.2 Spe_Componentes.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4.2 Lista / Rede Ascendente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1473200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Atribuição / Padrão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70510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Classes: Modelo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31457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5" w:name="__DdeLink__486_3079024354"/>
      <w:bookmarkStart w:id="26" w:name="__DdeLink__486_3079024354"/>
      <w:bookmarkEnd w:id="2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7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 xml:space="preserve">CADD014 </w:t>
          </w: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– Vinculação de Pontos de consultor por rede</w:t>
          </w:r>
        </w:p>
        <w:p>
          <w:pPr>
            <w:pStyle w:val="Normal"/>
            <w:jc w:val="center"/>
            <w:rPr>
              <w:rFonts w:ascii="Arial" w:hAnsi="Arial"/>
              <w:b/>
              <w:b/>
              <w:i w:val="false"/>
              <w:i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  <w:em w:val="none"/>
            </w:rPr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  <w:em w:val="none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/>
              <w:b/>
              <w:b/>
              <w:i w:val="false"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CADD014 – Vinculação de Pontos de consultor por rede</w:t>
          </w:r>
        </w:p>
        <w:p>
          <w:pPr>
            <w:pStyle w:val="Normal"/>
            <w:jc w:val="center"/>
            <w:rPr>
              <w:rFonts w:ascii="Arial" w:hAnsi="Arial"/>
              <w:b/>
              <w:b/>
              <w:i w:val="false"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7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 xml:space="preserve">CADD014 </w:t>
          </w: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– Vinculação de Pontos de consultor por rede</w:t>
          </w:r>
        </w:p>
        <w:p>
          <w:pPr>
            <w:pStyle w:val="Normal"/>
            <w:jc w:val="center"/>
            <w:rPr>
              <w:rFonts w:ascii="Arial" w:hAnsi="Arial" w:eastAsia="Times New Roman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17493</TotalTime>
  <Application>LibreOffice/6.0.3.2$Windows_X86_64 LibreOffice_project/8f48d515416608e3a835360314dac7e47fd0b821</Application>
  <Pages>4</Pages>
  <Words>321</Words>
  <Characters>1747</Characters>
  <CharactersWithSpaces>2015</CharactersWithSpaces>
  <Paragraphs>101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2021-03-10T22:34:57Z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