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067720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01/03/2021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3" w:name="__RefHeading___Toc7751_2109533423"/>
      <w:bookmarkStart w:id="4" w:name="_Toc30426527"/>
      <w:bookmarkEnd w:id="3"/>
      <w:bookmarkEnd w:id="4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5" w:name="__RefHeading___Toc7753_2109533423"/>
      <w:bookmarkStart w:id="6" w:name="_Toc30426528"/>
      <w:bookmarkEnd w:id="5"/>
      <w:bookmarkEnd w:id="6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Ajustes Plataforma NGS / Item de Baixa complexidade.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7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8" w:name="__DdeLink__485_46216421411"/>
      <w:bookmarkEnd w:id="7"/>
      <w:bookmarkEnd w:id="8"/>
      <w:r>
        <w:rPr/>
        <w:t xml:space="preserve">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>&gt;&gt;&gt;</w:t>
      </w:r>
    </w:p>
    <w:p>
      <w:pPr>
        <w:pStyle w:val="Ttulo2"/>
        <w:numPr>
          <w:ilvl w:val="0"/>
          <w:numId w:val="1"/>
        </w:numPr>
        <w:rPr/>
      </w:pPr>
      <w:bookmarkStart w:id="9" w:name="__RefHeading___Toc7755_2109533423"/>
      <w:bookmarkStart w:id="10" w:name="_Toc30426529"/>
      <w:bookmarkEnd w:id="9"/>
      <w:bookmarkEnd w:id="10"/>
      <w:r>
        <w:rPr/>
        <w:t>Requisitos</w:t>
      </w:r>
    </w:p>
    <w:p>
      <w:pPr>
        <w:pStyle w:val="Ttulo3"/>
        <w:rPr/>
      </w:pPr>
      <w:r>
        <w:rPr>
          <w:b/>
          <w:bCs/>
        </w:rPr>
        <w:t xml:space="preserve">3.1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CADD001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 - </w:t>
      </w:r>
      <w:r>
        <w:rPr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Regra de Valor do Cartão. </w:t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A opção de pagamento com cartão de crédito tem limite de R$ 7500,00 . (Limite por valor). </w:t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3.2 CADD003 –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Popup para selecionar Filial ao clicar em catálogo.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Ao DI Abrir a opção catalogo, mostrar uma opção para seleção da Filial! Esta opção atualizará a tela de filial de retirada.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Campo com o nome da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Filial / Modelo exemplo: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246697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Tela Modelo </w:t>
      </w:r>
      <w:r>
        <w:rPr>
          <w:b/>
          <w:bCs/>
        </w:rPr>
        <w:t xml:space="preserve">NGS: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55245</wp:posOffset>
            </wp:positionH>
            <wp:positionV relativeFrom="paragraph">
              <wp:posOffset>97790</wp:posOffset>
            </wp:positionV>
            <wp:extent cx="3267075" cy="1733550"/>
            <wp:effectExtent l="0" t="0" r="0" b="0"/>
            <wp:wrapSquare wrapText="largest"/>
            <wp:docPr id="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3.3</w:t>
      </w:r>
      <w:r>
        <w:rPr/>
        <w:t xml:space="preserve">.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CADD004 – Não aparecer para o Di a Filial /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CE181E"/>
          <w:sz w:val="24"/>
          <w:u w:val="none"/>
          <w:em w:val="none"/>
        </w:rPr>
        <w:t>Matriz Maringa.</w:t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CE181E"/>
          <w:sz w:val="24"/>
          <w:u w:val="none"/>
          <w:em w:val="none"/>
        </w:rPr>
        <w:t xml:space="preserve">A Filial Maringa Matriz não deve aparecer para o DI na lista de filais disponíveis. </w:t>
      </w:r>
    </w:p>
    <w:p>
      <w:pPr>
        <w:pStyle w:val="Normal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CE181E"/>
          <w:sz w:val="24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CE181E"/>
          <w:sz w:val="24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3.4 CADD005 – Destacar a Filial de Vinculo / e ou selecionada no cabeçalho.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101854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 xml:space="preserve">3.5 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CADD009 – Configurar forma de pgto: Cartão de Crédito / Cartão de Débito / 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Cheque a vista e Cheque a Prazo.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Configurar as formas de pagamento:   Cartão de Débito / Desconto a vista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</w:t>
      </w:r>
      <w:r>
        <w:rPr>
          <w:b w:val="false"/>
          <w:bCs w:val="false"/>
        </w:rPr>
        <w:t xml:space="preserve">Cheque a vista.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</w:t>
      </w:r>
      <w:r>
        <w:rPr>
          <w:b w:val="false"/>
          <w:bCs w:val="false"/>
        </w:rPr>
        <w:t xml:space="preserve">Cheque a prazo.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165862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3.6</w:t>
      </w:r>
      <w:r>
        <w:rPr>
          <w:b w:val="false"/>
          <w:bCs w:val="false"/>
        </w:rPr>
        <w:t xml:space="preserve">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CADD013 – Colocar a filial no relatório de Extrato / Conferência de SPV graduação.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45046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bookmarkStart w:id="2" w:name="__DdeLink__1786_451061681"/>
          <w:r>
            <w:rPr>
              <w:sz w:val="17"/>
              <w:szCs w:val="17"/>
            </w:rPr>
            <w:t>Documento de Referência Básicas Geral</w:t>
          </w:r>
          <w:bookmarkEnd w:id="2"/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17"/>
              <w:szCs w:val="17"/>
            </w:rPr>
            <w:t>Documento de Referência Básicas Geral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8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17"/>
              <w:szCs w:val="17"/>
            </w:rPr>
            <w:t>Documento de Referência Básicas Geral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17486</TotalTime>
  <Application>LibreOffice/6.0.3.2$Windows_X86_64 LibreOffice_project/8f48d515416608e3a835360314dac7e47fd0b821</Application>
  <Pages>4</Pages>
  <Words>329</Words>
  <Characters>1672</Characters>
  <CharactersWithSpaces>2121</CharactersWithSpaces>
  <Paragraphs>78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2021-03-01T15:31:21Z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