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left"/>
      </w:pPr>
      <w:r>
        <w:rPr>
          <w:rFonts w:ascii="Arial" w:cs="Arial" w:eastAsia="Arial" w:hAnsi="Arial"/>
          <w:b w:val="false"/>
          <w:bCs w:val="false"/>
          <w:i w:val="false"/>
          <w:iCs w:val="false"/>
          <w:color w:val="121417"/>
          <w:sz w:val="21"/>
          <w:szCs w:val="21"/>
        </w:rPr>
        <w:t xml:space="preserve"/>
      </w:r>
    </w:p>
    <w:p>
      <w:pPr>
        <w:spacing w:after="60" w:before="60"/>
        <w:jc w:val="left"/>
      </w:pPr>
      <w:r>
        <w:rPr>
          <w:rFonts w:ascii="Arial" w:cs="Arial" w:eastAsia="Arial" w:hAnsi="Arial"/>
          <w:b w:val="false"/>
          <w:bCs w:val="false"/>
          <w:i w:val="false"/>
          <w:iCs w:val="false"/>
          <w:color w:val="121417"/>
          <w:sz w:val="21"/>
          <w:szCs w:val="21"/>
        </w:rPr>
        <w:t xml:space="preserve"/>
      </w:r>
    </w:p>
    <w:p>
      <w:pPr>
        <w:spacing w:after="60" w:before="60"/>
        <w:jc w:val="left"/>
      </w:pPr>
      <w:r>
        <w:rPr>
          <w:rFonts w:ascii="Arial" w:cs="Arial" w:eastAsia="Arial" w:hAnsi="Arial"/>
          <w:b w:val="false"/>
          <w:bCs w:val="false"/>
          <w:i w:val="false"/>
          <w:iCs w:val="false"/>
          <w:color w:val="121417"/>
          <w:sz w:val="21"/>
          <w:szCs w:val="21"/>
        </w:rPr>
        <w:t xml:space="preserve"/>
      </w:r>
    </w:p>
    <w:p>
      <w:pPr>
        <w:spacing w:after="30" w:before="0"/>
        <w:jc w:val="center"/>
      </w:pPr>
      <w:r>
        <w:rPr>
          <w:rFonts w:ascii="Arial" w:cs="Arial" w:eastAsia="Arial" w:hAnsi="Arial"/>
          <w:color w:val="F59E0B"/>
          <w:sz w:val="56"/>
          <w:szCs w:val="56"/>
        </w:rPr>
        <w:t xml:space="preserve">◈</w:t>
      </w:r>
    </w:p>
    <w:p>
      <w:pPr>
        <w:spacing w:after="20" w:before="0"/>
        <w:jc w:val="center"/>
      </w:pPr>
      <w:r>
        <w:rPr>
          <w:rFonts w:ascii="Arial" w:cs="Arial" w:eastAsia="Arial" w:hAnsi="Arial"/>
          <w:b/>
          <w:bCs/>
          <w:caps/>
          <w:color w:val="12355B"/>
          <w:sz w:val="56"/>
          <w:szCs w:val="56"/>
        </w:rPr>
        <w:t xml:space="preserve">WILINWI</w:t>
      </w:r>
    </w:p>
    <w:p>
      <w:pPr>
        <w:spacing w:after="40" w:before="0"/>
        <w:jc w:val="center"/>
      </w:pPr>
      <w:r>
        <w:rPr>
          <w:rFonts w:ascii="Arial" w:cs="Arial" w:eastAsia="Arial" w:hAnsi="Arial"/>
          <w:b/>
          <w:bCs/>
          <w:i/>
          <w:iCs/>
          <w:color w:val="00A86B"/>
          <w:sz w:val="24"/>
          <w:szCs w:val="24"/>
        </w:rPr>
        <w:t xml:space="preserve">Le système d'exploitation du commerce africain 🚀</w:t>
      </w:r>
    </w:p>
    <w:p>
      <w:pPr>
        <w:spacing w:after="60" w:before="60"/>
        <w:jc w:val="left"/>
      </w:pPr>
      <w:r>
        <w:rPr>
          <w:rFonts w:ascii="Arial" w:cs="Arial" w:eastAsia="Arial" w:hAnsi="Arial"/>
          <w:b w:val="false"/>
          <w:bCs w:val="false"/>
          <w:i w:val="false"/>
          <w:iCs w:val="false"/>
          <w:color w:val="121417"/>
          <w:sz w:val="21"/>
          <w:szCs w:val="21"/>
        </w:rPr>
        <w:t xml:space="preserve"/>
      </w:r>
    </w:p>
    <w:p>
      <w:pPr>
        <w:pBdr>
          <w:top w:val="single" w:color="F59E0B" w:sz="3"/>
          <w:bottom w:val="single" w:color="F59E0B" w:sz="3"/>
        </w:pBdr>
        <w:spacing w:after="140" w:before="140"/>
        <w:jc w:val="center"/>
      </w:pPr>
      <w:r>
        <w:rPr>
          <w:rFonts w:ascii="Arial" w:cs="Arial" w:eastAsia="Arial" w:hAnsi="Arial"/>
          <w:b/>
          <w:bCs/>
          <w:color w:val="12355B"/>
          <w:sz w:val="21"/>
          <w:szCs w:val="21"/>
        </w:rPr>
        <w:t xml:space="preserve">POS · Stock · Pay · CRM · Market · Analytics · AI</w:t>
      </w:r>
    </w:p>
    <w:p>
      <w:pPr>
        <w:spacing w:after="60" w:before="60"/>
        <w:jc w:val="left"/>
      </w:pPr>
      <w:r>
        <w:rPr>
          <w:rFonts w:ascii="Arial" w:cs="Arial" w:eastAsia="Arial" w:hAnsi="Arial"/>
          <w:b w:val="false"/>
          <w:bCs w:val="false"/>
          <w:i w:val="false"/>
          <w:iCs w:val="false"/>
          <w:color w:val="121417"/>
          <w:sz w:val="21"/>
          <w:szCs w:val="21"/>
        </w:rPr>
        <w:t xml:space="preserve"/>
      </w:r>
    </w:p>
    <w:p>
      <w:pPr>
        <w:spacing w:after="50" w:before="50"/>
        <w:jc w:val="center"/>
      </w:pPr>
      <w:r>
        <w:rPr>
          <w:rFonts w:ascii="Arial" w:cs="Arial" w:eastAsia="Arial" w:hAnsi="Arial"/>
          <w:color w:val="5A6573"/>
          <w:sz w:val="20"/>
          <w:szCs w:val="20"/>
        </w:rPr>
        <w:t xml:space="preserve">La plateforme qui simplifie la gestion du commerce africain</w:t>
      </w:r>
    </w:p>
    <w:p>
      <w:pPr>
        <w:spacing w:after="60" w:before="60"/>
        <w:jc w:val="left"/>
      </w:pPr>
      <w:r>
        <w:rPr>
          <w:rFonts w:ascii="Arial" w:cs="Arial" w:eastAsia="Arial" w:hAnsi="Arial"/>
          <w:b w:val="false"/>
          <w:bCs w:val="false"/>
          <w:i w:val="false"/>
          <w:iCs w:val="false"/>
          <w:color w:val="121417"/>
          <w:sz w:val="21"/>
          <w:szCs w:val="21"/>
        </w:rPr>
        <w:t xml:space="preserve"/>
      </w:r>
    </w:p>
    <w:p>
      <w:pPr>
        <w:spacing w:after="60" w:before="60"/>
        <w:jc w:val="left"/>
      </w:pPr>
      <w:r>
        <w:rPr>
          <w:rFonts w:ascii="Arial" w:cs="Arial" w:eastAsia="Arial" w:hAnsi="Arial"/>
          <w:b w:val="false"/>
          <w:bCs w:val="false"/>
          <w:i w:val="false"/>
          <w:iCs w:val="false"/>
          <w:color w:val="121417"/>
          <w:sz w:val="21"/>
          <w:szCs w:val="21"/>
        </w:rPr>
        <w:t xml:space="preserve"/>
      </w:r>
    </w:p>
    <w:p>
      <w:pPr>
        <w:spacing w:after="60" w:before="60"/>
        <w:jc w:val="left"/>
      </w:pPr>
      <w:r>
        <w:rPr>
          <w:rFonts w:ascii="Arial" w:cs="Arial" w:eastAsia="Arial" w:hAnsi="Arial"/>
          <w:b w:val="false"/>
          <w:bCs w:val="false"/>
          <w:i w:val="false"/>
          <w:iCs w:val="false"/>
          <w:color w:val="121417"/>
          <w:sz w:val="21"/>
          <w:szCs w:val="21"/>
        </w:rPr>
        <w:t xml:space="preserve"/>
      </w:r>
    </w:p>
    <w:p>
      <w:pPr>
        <w:spacing w:after="60" w:before="60"/>
        <w:jc w:val="left"/>
      </w:pPr>
      <w:r>
        <w:rPr>
          <w:rFonts w:ascii="Arial" w:cs="Arial" w:eastAsia="Arial" w:hAnsi="Arial"/>
          <w:b w:val="false"/>
          <w:bCs w:val="false"/>
          <w:i w:val="false"/>
          <w:iCs w:val="false"/>
          <w:color w:val="121417"/>
          <w:sz w:val="21"/>
          <w:szCs w:val="21"/>
        </w:rPr>
        <w:t xml:space="preserve"/>
      </w:r>
    </w:p>
    <w:p>
      <w:pPr>
        <w:spacing w:after="40" w:before="40"/>
        <w:jc w:val="center"/>
      </w:pPr>
      <w:r>
        <w:rPr>
          <w:rFonts w:ascii="Arial" w:cs="Arial" w:eastAsia="Arial" w:hAnsi="Arial"/>
          <w:i/>
          <w:iCs/>
          <w:color w:val="5A6573"/>
          <w:sz w:val="19"/>
          <w:szCs w:val="19"/>
        </w:rPr>
        <w:t xml:space="preserve">Conçu par Nexus Partners · @hopsyder</w:t>
      </w:r>
    </w:p>
    <w:p>
      <w:pPr>
        <w:spacing w:after="40" w:before="40"/>
        <w:jc w:val="center"/>
      </w:pPr>
      <w:r>
        <w:rPr>
          <w:rFonts w:ascii="Arial" w:cs="Arial" w:eastAsia="Arial" w:hAnsi="Arial"/>
          <w:color w:val="5A6573"/>
          <w:sz w:val="19"/>
          <w:szCs w:val="19"/>
        </w:rPr>
        <w:t xml:space="preserve">Plan de Projet — Version 3.0 (Identité Wilinwi) · Juin 2026</w:t>
      </w:r>
    </w:p>
    <w:p>
      <w:pPr>
        <w:spacing w:after="0" w:before="0"/>
      </w:pPr>
      <w:r>
        <w:br w:type="page"/>
      </w:r>
    </w:p>
    <w:p>
      <w:pPr>
        <w:pStyle w:val="Heading1"/>
        <w:pBdr>
          <w:bottom w:val="single" w:color="00A86B" w:sz="4" w:space="4"/>
        </w:pBdr>
        <w:spacing w:after="180" w:before="360"/>
      </w:pPr>
      <w:r>
        <w:rPr>
          <w:rFonts w:ascii="Arial" w:cs="Arial" w:eastAsia="Arial" w:hAnsi="Arial"/>
          <w:b/>
          <w:bCs/>
          <w:caps/>
          <w:color w:val="12355B"/>
          <w:sz w:val="34"/>
          <w:szCs w:val="34"/>
        </w:rPr>
        <w:t xml:space="preserve">Résumé Exécutif</w:t>
      </w:r>
    </w:p>
    <w:p>
      <w:pPr>
        <w:spacing w:after="60" w:before="60"/>
        <w:jc w:val="left"/>
      </w:pPr>
      <w:r>
        <w:rPr>
          <w:rFonts w:ascii="Arial" w:cs="Arial" w:eastAsia="Arial" w:hAnsi="Arial"/>
          <w:b w:val="false"/>
          <w:bCs w:val="false"/>
          <w:i w:val="false"/>
          <w:iCs w:val="false"/>
          <w:color w:val="121417"/>
          <w:sz w:val="21"/>
          <w:szCs w:val="21"/>
        </w:rPr>
        <w:t xml:space="preserve"/>
      </w:r>
    </w:p>
    <w:p>
      <w:pPr>
        <w:spacing w:after="60" w:before="60"/>
        <w:jc w:val="left"/>
      </w:pPr>
      <w:r>
        <w:rPr>
          <w:rFonts w:ascii="Arial" w:cs="Arial" w:eastAsia="Arial" w:hAnsi="Arial"/>
          <w:b w:val="false"/>
          <w:bCs w:val="false"/>
          <w:i w:val="false"/>
          <w:iCs w:val="false"/>
          <w:color w:val="121417"/>
          <w:sz w:val="21"/>
          <w:szCs w:val="21"/>
        </w:rPr>
        <w:t xml:space="preserve">Wilinwi est un logiciel SaaS multi-tenant de gestion de commerce, vendu en abonnement à tout commerçant de détail en Afrique de l'Ouest. Construit en sept suites complémentaires (POS, Stock, Pay, CRM, Market, Analytics, AI) et livré en trois paliers — MVP1, MVP2, MVP3 — chacun utilisable et vendable de façon autonome.</w:t>
      </w:r>
    </w:p>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600"/>
        <w:gridCol w:w="6426"/>
      </w:tblGrid>
      <w:tr>
        <w:tc>
          <w:tcPr>
            <w:tcW w:type="dxa" w:w="26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Palier</w:t>
            </w:r>
          </w:p>
        </w:tc>
        <w:tc>
          <w:tcPr>
            <w:tcW w:type="dxa" w:w="64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Promesse livrée</w:t>
            </w:r>
          </w:p>
        </w:tc>
      </w:tr>
      <w:tr>
        <w:tc>
          <w:tcPr>
            <w:tcW w:type="dxa" w:w="26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MVP1 — Le Socle</w:t>
            </w:r>
          </w:p>
        </w:tc>
        <w:tc>
          <w:tcPr>
            <w:tcW w:type="dxa" w:w="64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Vendre et suivre son stock dès le premier jour, même hors-ligne</w:t>
            </w:r>
          </w:p>
        </w:tc>
      </w:tr>
      <w:tr>
        <w:tc>
          <w:tcPr>
            <w:tcW w:type="dxa" w:w="26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MVP2 — Le Pilotage</w:t>
            </w:r>
          </w:p>
        </w:tc>
        <w:tc>
          <w:tcPr>
            <w:tcW w:type="dxa" w:w="64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Organiser la boutique : crédits, livraisons, fournisseurs, fidélité</w:t>
            </w:r>
          </w:p>
        </w:tc>
      </w:tr>
      <w:tr>
        <w:tc>
          <w:tcPr>
            <w:tcW w:type="dxa" w:w="26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MVP3 — L'Intelligence</w:t>
            </w:r>
          </w:p>
        </w:tc>
        <w:tc>
          <w:tcPr>
            <w:tcW w:type="dxa" w:w="64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Anticiper et grandir : multi-boutiques, mobile natif, IA</w:t>
            </w:r>
          </w:p>
        </w:tc>
      </w:tr>
    </w:tbl>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700"/>
        <w:gridCol w:w="6326"/>
      </w:tblGrid>
      <w:tr>
        <w:tc>
          <w:tcPr>
            <w:tcW w:type="dxa" w:w="27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Point</w:t>
            </w:r>
          </w:p>
        </w:tc>
        <w:tc>
          <w:tcPr>
            <w:tcW w:type="dxa" w:w="63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Détail</w:t>
            </w:r>
          </w:p>
        </w:tc>
      </w:tr>
      <w:tr>
        <w:tc>
          <w:tcPr>
            <w:tcW w:type="dxa" w:w="2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Marque</w:t>
            </w:r>
          </w:p>
        </w:tc>
        <w:tc>
          <w:tcPr>
            <w:tcW w:type="dxa" w:w="63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 nom unique, mémorable, non enfermé dans la notion de « boutique »</w:t>
            </w:r>
          </w:p>
        </w:tc>
      </w:tr>
      <w:tr>
        <w:tc>
          <w:tcPr>
            <w:tcW w:type="dxa" w:w="27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Positionnement</w:t>
            </w:r>
          </w:p>
        </w:tc>
        <w:tc>
          <w:tcPr>
            <w:tcW w:type="dxa" w:w="63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La plateforme qui simplifie la gestion du commerce africain</w:t>
            </w:r>
          </w:p>
        </w:tc>
      </w:tr>
      <w:tr>
        <w:tc>
          <w:tcPr>
            <w:tcW w:type="dxa" w:w="2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Nature du produit</w:t>
            </w:r>
          </w:p>
        </w:tc>
        <w:tc>
          <w:tcPr>
            <w:tcW w:type="dxa" w:w="63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SaaS multi-tenant en suites modulaires</w:t>
            </w:r>
          </w:p>
        </w:tc>
      </w:tr>
      <w:tr>
        <w:tc>
          <w:tcPr>
            <w:tcW w:type="dxa" w:w="27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Modèle de revenus</w:t>
            </w:r>
          </w:p>
        </w:tc>
        <w:tc>
          <w:tcPr>
            <w:tcW w:type="dxa" w:w="63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Abonnement mensuel par paliers (Gratuit / Pro / Business) via FedaPay (Wilinwi Pay)</w:t>
            </w:r>
          </w:p>
        </w:tc>
      </w:tr>
      <w:tr>
        <w:tc>
          <w:tcPr>
            <w:tcW w:type="dxa" w:w="2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Différenciateur n°1</w:t>
            </w:r>
          </w:p>
        </w:tc>
        <w:tc>
          <w:tcPr>
            <w:tcW w:type="dxa" w:w="63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Offline-first natif — la caisse marche sans réseau</w:t>
            </w:r>
          </w:p>
        </w:tc>
      </w:tr>
      <w:tr>
        <w:tc>
          <w:tcPr>
            <w:tcW w:type="dxa" w:w="27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Différenciateur n°2</w:t>
            </w:r>
          </w:p>
        </w:tc>
        <w:tc>
          <w:tcPr>
            <w:tcW w:type="dxa" w:w="63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Système à 4 prix + négociation tracée</w:t>
            </w:r>
          </w:p>
        </w:tc>
      </w:tr>
      <w:tr>
        <w:tc>
          <w:tcPr>
            <w:tcW w:type="dxa" w:w="2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Différenciateur n°3</w:t>
            </w:r>
          </w:p>
        </w:tc>
        <w:tc>
          <w:tcPr>
            <w:tcW w:type="dxa" w:w="63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Pensé pour les réalités africaines : Mobile Money, crédit, négociation, hors-ligne</w:t>
            </w:r>
          </w:p>
        </w:tc>
      </w:tr>
    </w:tbl>
    <w:p>
      <w:pPr>
        <w:spacing w:after="0" w:before="0"/>
      </w:pPr>
      <w:r>
        <w:br w:type="page"/>
      </w:r>
    </w:p>
    <w:p>
      <w:pPr>
        <w:pStyle w:val="Heading1"/>
        <w:pBdr>
          <w:bottom w:val="single" w:color="00A86B" w:sz="4" w:space="4"/>
        </w:pBdr>
        <w:spacing w:after="180" w:before="360"/>
      </w:pPr>
      <w:r>
        <w:rPr>
          <w:rFonts w:ascii="Arial" w:cs="Arial" w:eastAsia="Arial" w:hAnsi="Arial"/>
          <w:b/>
          <w:bCs/>
          <w:caps/>
          <w:color w:val="12355B"/>
          <w:sz w:val="34"/>
          <w:szCs w:val="34"/>
        </w:rPr>
        <w:t xml:space="preserve">1. Identité de Marque</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1.1 — Le nom</w:t>
      </w:r>
    </w:p>
    <w:p>
      <w:pPr>
        <w:spacing w:after="20" w:before="100"/>
        <w:jc w:val="center"/>
      </w:pPr>
      <w:r>
        <w:rPr>
          <w:rFonts w:ascii="Arial" w:cs="Arial" w:eastAsia="Arial" w:hAnsi="Arial"/>
          <w:b/>
          <w:bCs/>
          <w:color w:val="12355B"/>
          <w:sz w:val="48"/>
          <w:szCs w:val="48"/>
        </w:rPr>
        <w:t xml:space="preserve">WILINWI</w:t>
      </w:r>
    </w:p>
    <w:p>
      <w:pPr>
        <w:spacing w:after="100" w:before="0"/>
        <w:jc w:val="center"/>
      </w:pPr>
      <w:r>
        <w:rPr>
          <w:rFonts w:ascii="Arial" w:cs="Arial" w:eastAsia="Arial" w:hAnsi="Arial"/>
          <w:i/>
          <w:iCs/>
          <w:color w:val="5A6573"/>
          <w:sz w:val="21"/>
          <w:szCs w:val="21"/>
        </w:rPr>
        <w:t xml:space="preserve">Prononciation : Wi-lin-wi</w:t>
      </w:r>
    </w:p>
    <w:p>
      <w:pPr>
        <w:spacing w:after="60" w:before="60"/>
        <w:jc w:val="left"/>
      </w:pPr>
      <w:r>
        <w:rPr>
          <w:rFonts w:ascii="Arial" w:cs="Arial" w:eastAsia="Arial" w:hAnsi="Arial"/>
          <w:b w:val="false"/>
          <w:bCs w:val="false"/>
          <w:i w:val="false"/>
          <w:iCs w:val="false"/>
          <w:color w:val="121417"/>
          <w:sz w:val="21"/>
          <w:szCs w:val="21"/>
        </w:rPr>
        <w:t xml:space="preserve">Wilinwi est intéressant parce qu'il est unique, mémorable et n'est pas enfermé dans la notion de « boutique » — il permet de construire toute une marque autour. Le nom est simple à prononcer en français, en anglais et dans plusieurs langues africaines, ce qui en fait un atout pour une expansion régionale.</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1.2 — Positionnement</w:t>
      </w:r>
    </w:p>
    <w:p>
      <w:pPr>
        <w:pBdr>
          <w:left w:val="single" w:color="12355B" w:sz="8" w:space="10"/>
        </w:pBdr>
        <w:shd w:fill="E6ECF2" w:val="clear"/>
        <w:spacing w:after="80" w:before="80"/>
      </w:pPr>
      <w:r>
        <w:rPr>
          <w:rFonts w:ascii="Arial" w:cs="Arial" w:eastAsia="Arial" w:hAnsi="Arial"/>
          <w:i/>
          <w:iCs/>
          <w:color w:val="12355B"/>
          <w:sz w:val="21"/>
          <w:szCs w:val="21"/>
        </w:rPr>
        <w:t xml:space="preserve">« La plateforme qui simplifie la gestion du commerce africain. »</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1.3 — Vision</w:t>
      </w:r>
    </w:p>
    <w:p>
      <w:pPr>
        <w:pBdr>
          <w:left w:val="single" w:color="00A86B" w:sz="8" w:space="10"/>
        </w:pBdr>
        <w:shd w:fill="E1F5EC" w:val="clear"/>
        <w:spacing w:after="80" w:before="80"/>
      </w:pPr>
      <w:r>
        <w:rPr>
          <w:rFonts w:ascii="Arial" w:cs="Arial" w:eastAsia="Arial" w:hAnsi="Arial"/>
          <w:i/>
          <w:iCs/>
          <w:color w:val="12355B"/>
          <w:sz w:val="21"/>
          <w:szCs w:val="21"/>
        </w:rPr>
        <w:t xml:space="preserve">« Permettre à chaque commerçant africain de piloter son activité depuis son téléphone, même sans connexion Internet. »</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1.4 — Signature (slogan)</w:t>
      </w:r>
    </w:p>
    <w:p>
      <w:pPr>
        <w:pBdr>
          <w:top w:val="single" w:color="F59E0B" w:sz="2"/>
          <w:bottom w:val="single" w:color="F59E0B" w:sz="2"/>
          <w:left w:val="single" w:color="F59E0B" w:sz="2"/>
          <w:right w:val="single" w:color="F59E0B" w:sz="2"/>
        </w:pBdr>
        <w:shd w:fill="FEF3D9" w:val="clear"/>
        <w:spacing w:after="100" w:before="100"/>
        <w:jc w:val="center"/>
      </w:pPr>
      <w:r>
        <w:rPr>
          <w:rFonts w:ascii="Arial" w:cs="Arial" w:eastAsia="Arial" w:hAnsi="Arial"/>
          <w:b/>
          <w:bCs/>
          <w:color w:val="12355B"/>
          <w:sz w:val="26"/>
          <w:szCs w:val="26"/>
        </w:rPr>
        <w:t xml:space="preserve">Wilinwi – Gérez. Vendez. Grandissez.</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1.5 — Univers visuel</w:t>
      </w:r>
    </w:p>
    <w:p>
      <w:pPr>
        <w:spacing w:after="60" w:before="60"/>
        <w:jc w:val="left"/>
      </w:pPr>
      <w:r>
        <w:rPr>
          <w:rFonts w:ascii="Arial" w:cs="Arial" w:eastAsia="Arial" w:hAnsi="Arial"/>
          <w:b w:val="false"/>
          <w:bCs w:val="false"/>
          <w:i w:val="false"/>
          <w:iCs w:val="false"/>
          <w:color w:val="121417"/>
          <w:sz w:val="21"/>
          <w:szCs w:val="21"/>
        </w:rPr>
        <w:t xml:space="preserve">Trois couleurs porteuses de sens, à appliquer sur tout le produit et tout le matériel de marque.</w:t>
      </w:r>
    </w:p>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800"/>
        <w:gridCol w:w="7226"/>
      </w:tblGrid>
      <w:tr>
        <w:tc>
          <w:tcPr>
            <w:tcW w:type="dxa" w:w="18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r>
              <w:rPr>
                <w:sz w:val="1"/>
                <w:szCs w:val="1"/>
              </w:rPr>
              <w:t xml:space="preserve">  </w:t>
            </w:r>
          </w:p>
        </w:tc>
        <w:tc>
          <w:tcPr>
            <w:tcW w:type="dxa" w:w="72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20" w:before="40"/>
            </w:pPr>
            <w:r>
              <w:rPr>
                <w:rFonts w:ascii="Arial" w:cs="Arial" w:eastAsia="Arial" w:hAnsi="Arial"/>
                <w:b/>
                <w:bCs/>
                <w:color w:val="121417"/>
                <w:sz w:val="21"/>
                <w:szCs w:val="21"/>
              </w:rPr>
              <w:t xml:space="preserve">Couleur principale  </w:t>
            </w:r>
            <w:r>
              <w:rPr>
                <w:rFonts w:ascii="Courier New" w:cs="Courier New" w:eastAsia="Courier New" w:hAnsi="Courier New"/>
                <w:color w:val="5A6573"/>
                <w:sz w:val="19"/>
                <w:szCs w:val="19"/>
              </w:rPr>
              <w:t xml:space="preserve">#12355B</w:t>
            </w:r>
          </w:p>
          <w:p>
            <w:pPr>
              <w:spacing w:after="40" w:before="0"/>
            </w:pPr>
            <w:r>
              <w:rPr>
                <w:rFonts w:ascii="Arial" w:cs="Arial" w:eastAsia="Arial" w:hAnsi="Arial"/>
                <w:i/>
                <w:iCs/>
                <w:color w:val="5A6573"/>
                <w:sz w:val="19"/>
                <w:szCs w:val="19"/>
              </w:rPr>
              <w:t xml:space="preserve">Bleu profond — confiance, technologie, stabilité</w:t>
            </w:r>
          </w:p>
        </w:tc>
      </w:tr>
    </w:tbl>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800"/>
        <w:gridCol w:w="7226"/>
      </w:tblGrid>
      <w:tr>
        <w:tc>
          <w:tcPr>
            <w:tcW w:type="dxa" w:w="1800"/>
            <w:tcBorders>
              <w:top w:val="single" w:color="00A86B" w:sz="1"/>
              <w:left w:val="single" w:color="00A86B" w:sz="1"/>
              <w:bottom w:val="single" w:color="00A86B" w:sz="1"/>
              <w:right w:val="single" w:color="00A86B" w:sz="1"/>
            </w:tcBorders>
            <w:shd w:fill="00A86B" w:val="clear"/>
            <w:tcMar>
              <w:top w:type="dxa" w:w="70"/>
              <w:left w:type="dxa" w:w="130"/>
              <w:bottom w:type="dxa" w:w="70"/>
              <w:right w:type="dxa" w:w="130"/>
            </w:tcMar>
            <w:vAlign w:val="center"/>
          </w:tcPr>
          <w:p>
            <w:r>
              <w:rPr>
                <w:sz w:val="1"/>
                <w:szCs w:val="1"/>
              </w:rPr>
              <w:t xml:space="preserve">  </w:t>
            </w:r>
          </w:p>
        </w:tc>
        <w:tc>
          <w:tcPr>
            <w:tcW w:type="dxa" w:w="72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20" w:before="40"/>
            </w:pPr>
            <w:r>
              <w:rPr>
                <w:rFonts w:ascii="Arial" w:cs="Arial" w:eastAsia="Arial" w:hAnsi="Arial"/>
                <w:b/>
                <w:bCs/>
                <w:color w:val="121417"/>
                <w:sz w:val="21"/>
                <w:szCs w:val="21"/>
              </w:rPr>
              <w:t xml:space="preserve">Couleur secondaire  </w:t>
            </w:r>
            <w:r>
              <w:rPr>
                <w:rFonts w:ascii="Courier New" w:cs="Courier New" w:eastAsia="Courier New" w:hAnsi="Courier New"/>
                <w:color w:val="5A6573"/>
                <w:sz w:val="19"/>
                <w:szCs w:val="19"/>
              </w:rPr>
              <w:t xml:space="preserve">#00A86B</w:t>
            </w:r>
          </w:p>
          <w:p>
            <w:pPr>
              <w:spacing w:after="40" w:before="0"/>
            </w:pPr>
            <w:r>
              <w:rPr>
                <w:rFonts w:ascii="Arial" w:cs="Arial" w:eastAsia="Arial" w:hAnsi="Arial"/>
                <w:i/>
                <w:iCs/>
                <w:color w:val="5A6573"/>
                <w:sz w:val="19"/>
                <w:szCs w:val="19"/>
              </w:rPr>
              <w:t xml:space="preserve">Vert émeraude — croissance, argent, réussite</w:t>
            </w:r>
          </w:p>
        </w:tc>
      </w:tr>
    </w:tbl>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800"/>
        <w:gridCol w:w="7226"/>
      </w:tblGrid>
      <w:tr>
        <w:tc>
          <w:tcPr>
            <w:tcW w:type="dxa" w:w="1800"/>
            <w:tcBorders>
              <w:top w:val="single" w:color="F59E0B" w:sz="1"/>
              <w:left w:val="single" w:color="F59E0B" w:sz="1"/>
              <w:bottom w:val="single" w:color="F59E0B" w:sz="1"/>
              <w:right w:val="single" w:color="F59E0B" w:sz="1"/>
            </w:tcBorders>
            <w:shd w:fill="F59E0B" w:val="clear"/>
            <w:tcMar>
              <w:top w:type="dxa" w:w="70"/>
              <w:left w:type="dxa" w:w="130"/>
              <w:bottom w:type="dxa" w:w="70"/>
              <w:right w:type="dxa" w:w="130"/>
            </w:tcMar>
            <w:vAlign w:val="center"/>
          </w:tcPr>
          <w:p>
            <w:r>
              <w:rPr>
                <w:sz w:val="1"/>
                <w:szCs w:val="1"/>
              </w:rPr>
              <w:t xml:space="preserve">  </w:t>
            </w:r>
          </w:p>
        </w:tc>
        <w:tc>
          <w:tcPr>
            <w:tcW w:type="dxa" w:w="72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20" w:before="40"/>
            </w:pPr>
            <w:r>
              <w:rPr>
                <w:rFonts w:ascii="Arial" w:cs="Arial" w:eastAsia="Arial" w:hAnsi="Arial"/>
                <w:b/>
                <w:bCs/>
                <w:color w:val="121417"/>
                <w:sz w:val="21"/>
                <w:szCs w:val="21"/>
              </w:rPr>
              <w:t xml:space="preserve">Couleur d'accent  </w:t>
            </w:r>
            <w:r>
              <w:rPr>
                <w:rFonts w:ascii="Courier New" w:cs="Courier New" w:eastAsia="Courier New" w:hAnsi="Courier New"/>
                <w:color w:val="5A6573"/>
                <w:sz w:val="19"/>
                <w:szCs w:val="19"/>
              </w:rPr>
              <w:t xml:space="preserve">#F59E0B</w:t>
            </w:r>
          </w:p>
          <w:p>
            <w:pPr>
              <w:spacing w:after="40" w:before="0"/>
            </w:pPr>
            <w:r>
              <w:rPr>
                <w:rFonts w:ascii="Arial" w:cs="Arial" w:eastAsia="Arial" w:hAnsi="Arial"/>
                <w:i/>
                <w:iCs/>
                <w:color w:val="5A6573"/>
                <w:sz w:val="19"/>
                <w:szCs w:val="19"/>
              </w:rPr>
              <w:t xml:space="preserve">Orange doré — commerce, énergie, Afrique</w:t>
            </w:r>
          </w:p>
        </w:tc>
      </w:tr>
    </w:tbl>
    <w:p>
      <w:pPr>
        <w:spacing w:after="0" w:before="0"/>
      </w:pPr>
      <w:r>
        <w:br w:type="page"/>
      </w:r>
    </w:p>
    <w:p>
      <w:pPr>
        <w:pStyle w:val="Heading2"/>
        <w:spacing w:after="120" w:before="260"/>
      </w:pPr>
      <w:r>
        <w:rPr>
          <w:rFonts w:ascii="Arial" w:cs="Arial" w:eastAsia="Arial" w:hAnsi="Arial"/>
          <w:b/>
          <w:bCs/>
          <w:color w:val="00A86B"/>
          <w:sz w:val="25"/>
          <w:szCs w:val="25"/>
        </w:rPr>
        <w:t xml:space="preserve">1.6 — Histoire de marque</w:t>
      </w:r>
    </w:p>
    <w:p>
      <w:pPr>
        <w:pBdr>
          <w:left w:val="single" w:color="12355B" w:sz="8" w:space="10"/>
        </w:pBdr>
        <w:shd w:fill="E6ECF2" w:val="clear"/>
        <w:spacing w:after="80" w:before="80"/>
      </w:pPr>
      <w:r>
        <w:rPr>
          <w:rFonts w:ascii="Arial" w:cs="Arial" w:eastAsia="Arial" w:hAnsi="Arial"/>
          <w:i/>
          <w:iCs/>
          <w:color w:val="12355B"/>
          <w:sz w:val="21"/>
          <w:szCs w:val="21"/>
        </w:rPr>
        <w:t xml:space="preserve">Wilinwi est né d'un constat simple : des millions de commerçants africains gèrent encore leur activité avec des cahiers, des calculatrices et WhatsApp. Nous avons créé une plateforme pensée pour les réalités africaines : Mobile Money, vente à crédit, négociation, multi-boutiques et fonctionnement hors ligne.</w:t>
      </w:r>
    </w:p>
    <w:p>
      <w:pPr>
        <w:spacing w:after="60" w:before="60"/>
        <w:jc w:val="left"/>
      </w:pPr>
      <w:r>
        <w:rPr>
          <w:rFonts w:ascii="Arial" w:cs="Arial" w:eastAsia="Arial" w:hAnsi="Arial"/>
          <w:b w:val="false"/>
          <w:bCs w:val="false"/>
          <w:i w:val="false"/>
          <w:iCs w:val="false"/>
          <w:color w:val="121417"/>
          <w:sz w:val="21"/>
          <w:szCs w:val="21"/>
        </w:rPr>
        <w:t xml:space="preserve">Cette histoire crée immédiatement une identité forte et différenciante face aux logiciels importés, qui ignorent généralement ces réalités.</w:t>
      </w:r>
    </w:p>
    <w:p>
      <w:pPr>
        <w:spacing w:after="60" w:before="60"/>
        <w:jc w:val="left"/>
      </w:pPr>
      <w:r>
        <w:rPr>
          <w:rFonts w:ascii="Arial" w:cs="Arial" w:eastAsia="Arial" w:hAnsi="Arial"/>
          <w:b w:val="false"/>
          <w:bCs w:val="false"/>
          <w:i w:val="false"/>
          <w:iCs w:val="false"/>
          <w:color w:val="121417"/>
          <w:sz w:val="21"/>
          <w:szCs w:val="21"/>
        </w:rPr>
        <w:t xml:space="preserve"/>
      </w:r>
    </w:p>
    <w:p>
      <w:pPr>
        <w:spacing w:after="60" w:before="60"/>
        <w:jc w:val="left"/>
      </w:pPr>
      <w:r>
        <w:rPr>
          <w:rFonts w:ascii="Arial" w:cs="Arial" w:eastAsia="Arial" w:hAnsi="Arial"/>
          <w:b w:val="false"/>
          <w:bCs w:val="false"/>
          <w:i w:val="false"/>
          <w:iCs w:val="false"/>
          <w:color w:val="121417"/>
          <w:sz w:val="21"/>
          <w:szCs w:val="21"/>
        </w:rPr>
        <w:t xml:space="preserve"/>
      </w:r>
    </w:p>
    <w:p>
      <w:pPr>
        <w:spacing w:after="10" w:before="60"/>
        <w:jc w:val="center"/>
      </w:pPr>
      <w:r>
        <w:rPr>
          <w:rFonts w:ascii="Arial" w:cs="Arial" w:eastAsia="Arial" w:hAnsi="Arial"/>
          <w:b/>
          <w:bCs/>
          <w:color w:val="12355B"/>
          <w:sz w:val="36"/>
          <w:szCs w:val="36"/>
        </w:rPr>
        <w:t xml:space="preserve">WILINWI</w:t>
      </w:r>
    </w:p>
    <w:p>
      <w:pPr>
        <w:spacing w:after="60" w:before="0"/>
        <w:jc w:val="center"/>
      </w:pPr>
      <w:r>
        <w:rPr>
          <w:rFonts w:ascii="Arial" w:cs="Arial" w:eastAsia="Arial" w:hAnsi="Arial"/>
          <w:b/>
          <w:bCs/>
          <w:i/>
          <w:iCs/>
          <w:color w:val="00A86B"/>
          <w:sz w:val="22"/>
          <w:szCs w:val="22"/>
        </w:rPr>
        <w:t xml:space="preserve">Le système d'exploitation du commerce africain 🚀</w:t>
      </w:r>
    </w:p>
    <w:p>
      <w:pPr>
        <w:spacing w:after="0" w:before="0"/>
      </w:pPr>
      <w:r>
        <w:br w:type="page"/>
      </w:r>
    </w:p>
    <w:p>
      <w:pPr>
        <w:pStyle w:val="Heading1"/>
        <w:pBdr>
          <w:bottom w:val="single" w:color="00A86B" w:sz="4" w:space="4"/>
        </w:pBdr>
        <w:spacing w:after="180" w:before="360"/>
      </w:pPr>
      <w:r>
        <w:rPr>
          <w:rFonts w:ascii="Arial" w:cs="Arial" w:eastAsia="Arial" w:hAnsi="Arial"/>
          <w:b/>
          <w:bCs/>
          <w:caps/>
          <w:color w:val="12355B"/>
          <w:sz w:val="34"/>
          <w:szCs w:val="34"/>
        </w:rPr>
        <w:t xml:space="preserve">2. Anatomie du Produit</w:t>
      </w:r>
    </w:p>
    <w:p>
      <w:pPr>
        <w:spacing w:after="60" w:before="60"/>
        <w:jc w:val="left"/>
      </w:pPr>
      <w:r>
        <w:rPr>
          <w:rFonts w:ascii="Arial" w:cs="Arial" w:eastAsia="Arial" w:hAnsi="Arial"/>
          <w:b w:val="false"/>
          <w:bCs w:val="false"/>
          <w:i w:val="false"/>
          <w:iCs w:val="false"/>
          <w:color w:val="121417"/>
          <w:sz w:val="21"/>
          <w:szCs w:val="21"/>
        </w:rPr>
        <w:t xml:space="preserve"/>
      </w:r>
    </w:p>
    <w:p>
      <w:pPr>
        <w:spacing w:after="60" w:before="60"/>
        <w:jc w:val="left"/>
      </w:pPr>
      <w:r>
        <w:rPr>
          <w:rFonts w:ascii="Arial" w:cs="Arial" w:eastAsia="Arial" w:hAnsi="Arial"/>
          <w:b w:val="false"/>
          <w:bCs w:val="false"/>
          <w:i w:val="false"/>
          <w:iCs w:val="false"/>
          <w:color w:val="121417"/>
          <w:sz w:val="21"/>
          <w:szCs w:val="21"/>
        </w:rPr>
        <w:t xml:space="preserve">Le système est pensé comme un corps : chaque partie a une fonction vitale. Cette anatomie guide aussi l'ordre de construction.</w:t>
      </w:r>
    </w:p>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500"/>
        <w:gridCol w:w="2200"/>
        <w:gridCol w:w="3700"/>
        <w:gridCol w:w="1626"/>
      </w:tblGrid>
      <w:tr>
        <w:tc>
          <w:tcPr>
            <w:tcW w:type="dxa" w:w="15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Partie du corps</w:t>
            </w:r>
          </w:p>
        </w:tc>
        <w:tc>
          <w:tcPr>
            <w:tcW w:type="dxa" w:w="22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Suite Wilinwi</w:t>
            </w:r>
          </w:p>
        </w:tc>
        <w:tc>
          <w:tcPr>
            <w:tcW w:type="dxa" w:w="37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Rôle vital</w:t>
            </w:r>
          </w:p>
        </w:tc>
        <w:tc>
          <w:tcPr>
            <w:tcW w:type="dxa" w:w="16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Palier</w:t>
            </w:r>
          </w:p>
        </w:tc>
      </w:tr>
      <w:tr>
        <w:tc>
          <w:tcPr>
            <w:tcW w:type="dxa" w:w="1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 ADN</w:t>
            </w:r>
          </w:p>
        </w:tc>
        <w:tc>
          <w:tcPr>
            <w:tcW w:type="dxa" w:w="22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Socle multi-tenant</w:t>
            </w:r>
          </w:p>
        </w:tc>
        <w:tc>
          <w:tcPr>
            <w:tcW w:type="dxa" w:w="3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Isole et sécurise les données de chaque boutique</w:t>
            </w:r>
          </w:p>
        </w:tc>
        <w:tc>
          <w:tcPr>
            <w:tcW w:type="dxa" w:w="1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MVP1</w:t>
            </w:r>
          </w:p>
        </w:tc>
      </w:tr>
      <w:tr>
        <w:tc>
          <w:tcPr>
            <w:tcW w:type="dxa" w:w="15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 Tête</w:t>
            </w:r>
          </w:p>
        </w:tc>
        <w:tc>
          <w:tcPr>
            <w:tcW w:type="dxa" w:w="22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Analytics (base)</w:t>
            </w:r>
          </w:p>
        </w:tc>
        <w:tc>
          <w:tcPr>
            <w:tcW w:type="dxa" w:w="37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Montre l'état de santé de la boutique en un coup d'œil</w:t>
            </w:r>
          </w:p>
        </w:tc>
        <w:tc>
          <w:tcPr>
            <w:tcW w:type="dxa" w:w="16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MVP1</w:t>
            </w:r>
          </w:p>
        </w:tc>
      </w:tr>
      <w:tr>
        <w:tc>
          <w:tcPr>
            <w:tcW w:type="dxa" w:w="1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 Cœur</w:t>
            </w:r>
          </w:p>
        </w:tc>
        <w:tc>
          <w:tcPr>
            <w:tcW w:type="dxa" w:w="22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Stock</w:t>
            </w:r>
          </w:p>
        </w:tc>
        <w:tc>
          <w:tcPr>
            <w:tcW w:type="dxa" w:w="3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Tout produit, tout prix, toute quantité part d'ici</w:t>
            </w:r>
          </w:p>
        </w:tc>
        <w:tc>
          <w:tcPr>
            <w:tcW w:type="dxa" w:w="1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MVP1</w:t>
            </w:r>
          </w:p>
        </w:tc>
      </w:tr>
      <w:tr>
        <w:tc>
          <w:tcPr>
            <w:tcW w:type="dxa" w:w="15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 Sang</w:t>
            </w:r>
          </w:p>
        </w:tc>
        <w:tc>
          <w:tcPr>
            <w:tcW w:type="dxa" w:w="22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POS</w:t>
            </w:r>
          </w:p>
        </w:tc>
        <w:tc>
          <w:tcPr>
            <w:tcW w:type="dxa" w:w="37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Fait circuler l'argent à chaque vente</w:t>
            </w:r>
          </w:p>
        </w:tc>
        <w:tc>
          <w:tcPr>
            <w:tcW w:type="dxa" w:w="16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MVP1</w:t>
            </w:r>
          </w:p>
        </w:tc>
      </w:tr>
      <w:tr>
        <w:tc>
          <w:tcPr>
            <w:tcW w:type="dxa" w:w="1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 Membres</w:t>
            </w:r>
          </w:p>
        </w:tc>
        <w:tc>
          <w:tcPr>
            <w:tcW w:type="dxa" w:w="22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CRM + Pay</w:t>
            </w:r>
          </w:p>
        </w:tc>
        <w:tc>
          <w:tcPr>
            <w:tcW w:type="dxa" w:w="3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Donnent la force de piloter au quotidien</w:t>
            </w:r>
          </w:p>
        </w:tc>
        <w:tc>
          <w:tcPr>
            <w:tcW w:type="dxa" w:w="1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MVP1→2</w:t>
            </w:r>
          </w:p>
        </w:tc>
      </w:tr>
      <w:tr>
        <w:tc>
          <w:tcPr>
            <w:tcW w:type="dxa" w:w="15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 Squelette</w:t>
            </w:r>
          </w:p>
        </w:tc>
        <w:tc>
          <w:tcPr>
            <w:tcW w:type="dxa" w:w="22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Stack + Offline</w:t>
            </w:r>
          </w:p>
        </w:tc>
        <w:tc>
          <w:tcPr>
            <w:tcW w:type="dxa" w:w="37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Soutient tout, même sans réseau</w:t>
            </w:r>
          </w:p>
        </w:tc>
        <w:tc>
          <w:tcPr>
            <w:tcW w:type="dxa" w:w="16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MVP1</w:t>
            </w:r>
          </w:p>
        </w:tc>
      </w:tr>
      <w:tr>
        <w:tc>
          <w:tcPr>
            <w:tcW w:type="dxa" w:w="1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 Voix</w:t>
            </w:r>
          </w:p>
        </w:tc>
        <w:tc>
          <w:tcPr>
            <w:tcW w:type="dxa" w:w="22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Market</w:t>
            </w:r>
          </w:p>
        </w:tc>
        <w:tc>
          <w:tcPr>
            <w:tcW w:type="dxa" w:w="3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Fait parler la boutique au monde via WhatsApp</w:t>
            </w:r>
          </w:p>
        </w:tc>
        <w:tc>
          <w:tcPr>
            <w:tcW w:type="dxa" w:w="1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MVP2</w:t>
            </w:r>
          </w:p>
        </w:tc>
      </w:tr>
      <w:tr>
        <w:tc>
          <w:tcPr>
            <w:tcW w:type="dxa" w:w="15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 Instinct</w:t>
            </w:r>
          </w:p>
        </w:tc>
        <w:tc>
          <w:tcPr>
            <w:tcW w:type="dxa" w:w="22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AI</w:t>
            </w:r>
          </w:p>
        </w:tc>
        <w:tc>
          <w:tcPr>
            <w:tcW w:type="dxa" w:w="37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Anticipe et conseille une fois le corps mature</w:t>
            </w:r>
          </w:p>
        </w:tc>
        <w:tc>
          <w:tcPr>
            <w:tcW w:type="dxa" w:w="16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MVP3</w:t>
            </w:r>
          </w:p>
        </w:tc>
      </w:tr>
    </w:tbl>
    <w:p>
      <w:pPr>
        <w:spacing w:after="0" w:before="0"/>
      </w:pPr>
      <w:r>
        <w:br w:type="page"/>
      </w:r>
    </w:p>
    <w:p>
      <w:pPr>
        <w:pStyle w:val="Heading1"/>
        <w:pBdr>
          <w:bottom w:val="single" w:color="00A86B" w:sz="4" w:space="4"/>
        </w:pBdr>
        <w:spacing w:after="180" w:before="360"/>
      </w:pPr>
      <w:r>
        <w:rPr>
          <w:rFonts w:ascii="Arial" w:cs="Arial" w:eastAsia="Arial" w:hAnsi="Arial"/>
          <w:b/>
          <w:bCs/>
          <w:caps/>
          <w:color w:val="12355B"/>
          <w:sz w:val="34"/>
          <w:szCs w:val="34"/>
        </w:rPr>
        <w:t xml:space="preserve">3. L'ADN — Architecture Multi-Tenant</w:t>
      </w:r>
    </w:p>
    <w:p>
      <w:pPr>
        <w:spacing w:after="60" w:before="60"/>
        <w:jc w:val="left"/>
      </w:pPr>
      <w:r>
        <w:rPr>
          <w:rFonts w:ascii="Arial" w:cs="Arial" w:eastAsia="Arial" w:hAnsi="Arial"/>
          <w:b w:val="false"/>
          <w:bCs w:val="false"/>
          <w:i w:val="false"/>
          <w:iCs w:val="false"/>
          <w:color w:val="121417"/>
          <w:sz w:val="21"/>
          <w:szCs w:val="21"/>
        </w:rPr>
        <w:t xml:space="preserve"/>
      </w:r>
    </w:p>
    <w:p>
      <w:pPr>
        <w:spacing w:after="60" w:before="60"/>
        <w:jc w:val="left"/>
      </w:pPr>
      <w:r>
        <w:rPr>
          <w:rFonts w:ascii="Arial" w:cs="Arial" w:eastAsia="Arial" w:hAnsi="Arial"/>
          <w:b w:val="false"/>
          <w:bCs w:val="false"/>
          <w:i w:val="false"/>
          <w:iCs w:val="false"/>
          <w:color w:val="121417"/>
          <w:sz w:val="21"/>
          <w:szCs w:val="21"/>
        </w:rPr>
        <w:t xml:space="preserve">Chaque boutique inscrite est un « tenant ». Toutes ses données portent un tenant_id, protégé par des règles de sécurité au niveau base de données (Row-Level Security) — aucune boutique ne peut voir les données d'une autre.</w:t>
      </w:r>
    </w:p>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900"/>
        <w:gridCol w:w="3300"/>
        <w:gridCol w:w="3826"/>
      </w:tblGrid>
      <w:tr>
        <w:tc>
          <w:tcPr>
            <w:tcW w:type="dxa" w:w="19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Rôle</w:t>
            </w:r>
          </w:p>
        </w:tc>
        <w:tc>
          <w:tcPr>
            <w:tcW w:type="dxa" w:w="33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Voit</w:t>
            </w:r>
          </w:p>
        </w:tc>
        <w:tc>
          <w:tcPr>
            <w:tcW w:type="dxa" w:w="38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Peut faire</w:t>
            </w:r>
          </w:p>
        </w:tc>
      </w:tr>
      <w:tr>
        <w:tc>
          <w:tcPr>
            <w:tcW w:type="dxa" w:w="19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Propriétaire</w:t>
            </w:r>
          </w:p>
        </w:tc>
        <w:tc>
          <w:tcPr>
            <w:tcW w:type="dxa" w:w="33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Tout : marges, prix d'achat, trésorerie, tous rapports</w:t>
            </w:r>
          </w:p>
        </w:tc>
        <w:tc>
          <w:tcPr>
            <w:tcW w:type="dxa" w:w="38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Tout configurer, gérer utilisateurs &amp; abonnement</w:t>
            </w:r>
          </w:p>
        </w:tc>
      </w:tr>
      <w:tr>
        <w:tc>
          <w:tcPr>
            <w:tcW w:type="dxa" w:w="19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Gérant</w:t>
            </w:r>
          </w:p>
        </w:tc>
        <w:tc>
          <w:tcPr>
            <w:tcW w:type="dxa" w:w="33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Stock, ventes, rapports</w:t>
            </w:r>
          </w:p>
        </w:tc>
        <w:tc>
          <w:tcPr>
            <w:tcW w:type="dxa" w:w="38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Gérer stock &amp; ventes, valider sous le prix plancher</w:t>
            </w:r>
          </w:p>
        </w:tc>
      </w:tr>
      <w:tr>
        <w:tc>
          <w:tcPr>
            <w:tcW w:type="dxa" w:w="19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Vendeur</w:t>
            </w:r>
          </w:p>
        </w:tc>
        <w:tc>
          <w:tcPr>
            <w:tcW w:type="dxa" w:w="33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Catalogue, point de vente</w:t>
            </w:r>
          </w:p>
        </w:tc>
        <w:tc>
          <w:tcPr>
            <w:tcW w:type="dxa" w:w="38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Vendre, dans la limite du prix plancher</w:t>
            </w:r>
          </w:p>
        </w:tc>
      </w:tr>
      <w:tr>
        <w:tc>
          <w:tcPr>
            <w:tcW w:type="dxa" w:w="19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Caissier</w:t>
            </w:r>
          </w:p>
        </w:tc>
        <w:tc>
          <w:tcPr>
            <w:tcW w:type="dxa" w:w="33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Caisse, encaissements</w:t>
            </w:r>
          </w:p>
        </w:tc>
        <w:tc>
          <w:tcPr>
            <w:tcW w:type="dxa" w:w="38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Encaisser, clôturer la caisse du jour</w:t>
            </w:r>
          </w:p>
        </w:tc>
      </w:tr>
      <w:tr>
        <w:tc>
          <w:tcPr>
            <w:tcW w:type="dxa" w:w="19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Livreur</w:t>
            </w:r>
          </w:p>
        </w:tc>
        <w:tc>
          <w:tcPr>
            <w:tcW w:type="dxa" w:w="33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Livraisons assignées (MVP2)</w:t>
            </w:r>
          </w:p>
        </w:tc>
        <w:tc>
          <w:tcPr>
            <w:tcW w:type="dxa" w:w="38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Mettre à jour le statut de livraison</w:t>
            </w:r>
          </w:p>
        </w:tc>
      </w:tr>
    </w:tbl>
    <w:p>
      <w:pPr>
        <w:spacing w:after="60" w:before="60"/>
        <w:jc w:val="left"/>
      </w:pPr>
      <w:r>
        <w:rPr>
          <w:rFonts w:ascii="Arial" w:cs="Arial" w:eastAsia="Arial" w:hAnsi="Arial"/>
          <w:b w:val="false"/>
          <w:bCs w:val="false"/>
          <w:i w:val="false"/>
          <w:iCs w:val="false"/>
          <w:color w:val="121417"/>
          <w:sz w:val="21"/>
          <w:szCs w:val="21"/>
        </w:rPr>
        <w:t xml:space="preserve"/>
      </w:r>
    </w:p>
    <w:p>
      <w:pPr>
        <w:pBdr>
          <w:left w:val="single" w:color="F59E0B" w:sz="8" w:space="10"/>
        </w:pBdr>
        <w:shd w:fill="FEF3D9" w:val="clear"/>
        <w:spacing w:after="80" w:before="80"/>
      </w:pPr>
      <w:r>
        <w:rPr>
          <w:rFonts w:ascii="Arial" w:cs="Arial" w:eastAsia="Arial" w:hAnsi="Arial"/>
          <w:i/>
          <w:iCs/>
          <w:color w:val="12355B"/>
          <w:sz w:val="21"/>
          <w:szCs w:val="21"/>
        </w:rPr>
        <w:t xml:space="preserve">Le prix d'achat et la marge ne sont JAMAIS visibles par un vendeur, un caissier ou un livreur.</w:t>
      </w:r>
    </w:p>
    <w:p>
      <w:pPr>
        <w:spacing w:after="0" w:before="0"/>
      </w:pPr>
      <w:r>
        <w:br w:type="page"/>
      </w:r>
    </w:p>
    <w:p>
      <w:pPr>
        <w:pStyle w:val="Heading1"/>
        <w:pBdr>
          <w:bottom w:val="single" w:color="00A86B" w:sz="4" w:space="4"/>
        </w:pBdr>
        <w:spacing w:after="180" w:before="360"/>
      </w:pPr>
      <w:r>
        <w:rPr>
          <w:rFonts w:ascii="Arial" w:cs="Arial" w:eastAsia="Arial" w:hAnsi="Arial"/>
          <w:b/>
          <w:bCs/>
          <w:caps/>
          <w:color w:val="12355B"/>
          <w:sz w:val="34"/>
          <w:szCs w:val="34"/>
        </w:rPr>
        <w:t xml:space="preserve">4. Architecture du Produit &amp; Technique</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4.1 — Les Suites Wilinwi</w:t>
      </w:r>
    </w:p>
    <w:p>
      <w:pPr>
        <w:spacing w:after="60" w:before="60"/>
        <w:jc w:val="left"/>
      </w:pPr>
      <w:r>
        <w:rPr>
          <w:rFonts w:ascii="Arial" w:cs="Arial" w:eastAsia="Arial" w:hAnsi="Arial"/>
          <w:b w:val="false"/>
          <w:bCs w:val="false"/>
          <w:i w:val="false"/>
          <w:iCs w:val="false"/>
          <w:color w:val="121417"/>
          <w:sz w:val="21"/>
          <w:szCs w:val="21"/>
        </w:rPr>
        <w:t xml:space="preserve">Plutôt qu'un seul logiciel monolithique du point de vue de l'utilisateur, Wilinwi se présente comme un ensemble de suites complémentaires — chacune vendable, compréhensible et activable séparément, tout en fonctionnant comme un tout cohérent.</w:t>
      </w:r>
    </w:p>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700"/>
        <w:gridCol w:w="2400"/>
        <w:gridCol w:w="3526"/>
        <w:gridCol w:w="1400"/>
      </w:tblGrid>
      <w:tr>
        <w:tc>
          <w:tcPr>
            <w:tcW w:type="dxa" w:w="17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Suite</w:t>
            </w:r>
          </w:p>
        </w:tc>
        <w:tc>
          <w:tcPr>
            <w:tcW w:type="dxa" w:w="24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Rôle</w:t>
            </w:r>
          </w:p>
        </w:tc>
        <w:tc>
          <w:tcPr>
            <w:tcW w:type="dxa" w:w="35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Modules inclus</w:t>
            </w:r>
          </w:p>
        </w:tc>
        <w:tc>
          <w:tcPr>
            <w:tcW w:type="dxa" w:w="14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Disponible dès</w:t>
            </w:r>
          </w:p>
        </w:tc>
      </w:tr>
      <w:tr>
        <w:tc>
          <w:tcPr>
            <w:tcW w:type="dxa" w:w="1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POS</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Caisse intelligente</w:t>
            </w:r>
          </w:p>
        </w:tc>
        <w:tc>
          <w:tcPr>
            <w:tcW w:type="dxa" w:w="35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Point de vente, acomptes, négociation tracée, offline</w:t>
            </w:r>
          </w:p>
        </w:tc>
        <w:tc>
          <w:tcPr>
            <w:tcW w:type="dxa" w:w="1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MVP1</w:t>
            </w:r>
          </w:p>
        </w:tc>
      </w:tr>
      <w:tr>
        <w:tc>
          <w:tcPr>
            <w:tcW w:type="dxa" w:w="17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Stock</w:t>
            </w:r>
          </w:p>
        </w:tc>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Gestion de stock</w:t>
            </w:r>
          </w:p>
        </w:tc>
        <w:tc>
          <w:tcPr>
            <w:tcW w:type="dxa" w:w="35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Fiches produits, 4 prix, mouvements, inventaire physique</w:t>
            </w:r>
          </w:p>
        </w:tc>
        <w:tc>
          <w:tcPr>
            <w:tcW w:type="dxa" w:w="1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MVP1</w:t>
            </w:r>
          </w:p>
        </w:tc>
      </w:tr>
      <w:tr>
        <w:tc>
          <w:tcPr>
            <w:tcW w:type="dxa" w:w="1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Pay</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Paiements Mobile Money</w:t>
            </w:r>
          </w:p>
        </w:tc>
        <w:tc>
          <w:tcPr>
            <w:tcW w:type="dxa" w:w="35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Abonnement FedaPay, puis encaissement client direct</w:t>
            </w:r>
          </w:p>
        </w:tc>
        <w:tc>
          <w:tcPr>
            <w:tcW w:type="dxa" w:w="1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MVP1 → MVP2</w:t>
            </w:r>
          </w:p>
        </w:tc>
      </w:tr>
      <w:tr>
        <w:tc>
          <w:tcPr>
            <w:tcW w:type="dxa" w:w="17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CRM</w:t>
            </w:r>
          </w:p>
        </w:tc>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Gestion clients</w:t>
            </w:r>
          </w:p>
        </w:tc>
        <w:tc>
          <w:tcPr>
            <w:tcW w:type="dxa" w:w="35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Fiches clients, dettes simples puis avancées, fidélité</w:t>
            </w:r>
          </w:p>
        </w:tc>
        <w:tc>
          <w:tcPr>
            <w:tcW w:type="dxa" w:w="1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MVP1 → MVP2</w:t>
            </w:r>
          </w:p>
        </w:tc>
      </w:tr>
      <w:tr>
        <w:tc>
          <w:tcPr>
            <w:tcW w:type="dxa" w:w="1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Market</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Catalogue WhatsApp &amp; boutique en ligne</w:t>
            </w:r>
          </w:p>
        </w:tc>
        <w:tc>
          <w:tcPr>
            <w:tcW w:type="dxa" w:w="35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Vitrine produits, panier, commande → WhatsApp</w:t>
            </w:r>
          </w:p>
        </w:tc>
        <w:tc>
          <w:tcPr>
            <w:tcW w:type="dxa" w:w="1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MVP2</w:t>
            </w:r>
          </w:p>
        </w:tc>
      </w:tr>
      <w:tr>
        <w:tc>
          <w:tcPr>
            <w:tcW w:type="dxa" w:w="17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Analytics</w:t>
            </w:r>
          </w:p>
        </w:tc>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Rapports avancés</w:t>
            </w:r>
          </w:p>
        </w:tc>
        <w:tc>
          <w:tcPr>
            <w:tcW w:type="dxa" w:w="35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Dashboard, marge réelle vs théorique, prévisions</w:t>
            </w:r>
          </w:p>
        </w:tc>
        <w:tc>
          <w:tcPr>
            <w:tcW w:type="dxa" w:w="1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MVP1 → MVP3</w:t>
            </w:r>
          </w:p>
        </w:tc>
      </w:tr>
      <w:tr>
        <w:tc>
          <w:tcPr>
            <w:tcW w:type="dxa" w:w="1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AI</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Assistant intelligent</w:t>
            </w:r>
          </w:p>
        </w:tc>
        <w:tc>
          <w:tcPr>
            <w:tcW w:type="dxa" w:w="35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Questions en langage naturel, prévisions de stock</w:t>
            </w:r>
          </w:p>
        </w:tc>
        <w:tc>
          <w:tcPr>
            <w:tcW w:type="dxa" w:w="1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MVP3</w:t>
            </w:r>
          </w:p>
        </w:tc>
      </w:tr>
    </w:tbl>
    <w:p>
      <w:pPr>
        <w:spacing w:after="60" w:before="60"/>
        <w:jc w:val="left"/>
      </w:pPr>
      <w:r>
        <w:rPr>
          <w:rFonts w:ascii="Arial" w:cs="Arial" w:eastAsia="Arial" w:hAnsi="Arial"/>
          <w:b w:val="false"/>
          <w:bCs w:val="false"/>
          <w:i w:val="false"/>
          <w:iCs w:val="false"/>
          <w:color w:val="121417"/>
          <w:sz w:val="21"/>
          <w:szCs w:val="21"/>
        </w:rPr>
        <w:t xml:space="preserve"/>
      </w:r>
    </w:p>
    <w:p>
      <w:pPr>
        <w:pBdr>
          <w:left w:val="single" w:color="00A86B" w:sz="8" w:space="10"/>
        </w:pBdr>
        <w:shd w:fill="E1F5EC" w:val="clear"/>
        <w:spacing w:after="80" w:before="80"/>
      </w:pPr>
      <w:r>
        <w:rPr>
          <w:rFonts w:ascii="Arial" w:cs="Arial" w:eastAsia="Arial" w:hAnsi="Arial"/>
          <w:i/>
          <w:iCs/>
          <w:color w:val="12355B"/>
          <w:sz w:val="21"/>
          <w:szCs w:val="21"/>
        </w:rPr>
        <w:t xml:space="preserve">Wilinwi Market reprend directement l'architecture déjà conçue pour les boutiques en ligne avec commande WhatsApp (catalogue, panier, formulaire, redirection WhatsApp, traçabilité des prix négociés). C'est une suite qui peut être vendue séparément aux commerçants qui veulent aussi une vitrine publique, en plus de leur gestion interne.</w:t>
      </w:r>
    </w:p>
    <w:p>
      <w:pPr>
        <w:spacing w:after="0" w:before="0"/>
      </w:pPr>
      <w:r>
        <w:br w:type="page"/>
      </w:r>
    </w:p>
    <w:p>
      <w:pPr>
        <w:pStyle w:val="Heading2"/>
        <w:spacing w:after="120" w:before="260"/>
      </w:pPr>
      <w:r>
        <w:rPr>
          <w:rFonts w:ascii="Arial" w:cs="Arial" w:eastAsia="Arial" w:hAnsi="Arial"/>
          <w:b/>
          <w:bCs/>
          <w:color w:val="00A86B"/>
          <w:sz w:val="25"/>
          <w:szCs w:val="25"/>
        </w:rPr>
        <w:t xml:space="preserve">4.2 — Le Hub Central (le 8ᵉ site)</w:t>
      </w:r>
    </w:p>
    <w:p>
      <w:pPr>
        <w:spacing w:after="60" w:before="60"/>
        <w:jc w:val="left"/>
      </w:pPr>
      <w:r>
        <w:rPr>
          <w:rFonts w:ascii="Arial" w:cs="Arial" w:eastAsia="Arial" w:hAnsi="Arial"/>
          <w:b w:val="false"/>
          <w:bCs w:val="false"/>
          <w:i w:val="false"/>
          <w:iCs w:val="false"/>
          <w:color w:val="121417"/>
          <w:sz w:val="21"/>
          <w:szCs w:val="21"/>
        </w:rPr>
        <w:t xml:space="preserve">Au-dessus des sept suites, un portail unique sert de porte d'entrée : le Hub Wilinwi. C'est là que le commerçant crée son compte, se connecte, et accède à ses modules. Le modèle est celui d'un compte Google ouvrant Gmail, Drive, Agenda — ou de Zoho.</w:t>
      </w:r>
    </w:p>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900"/>
        <w:gridCol w:w="6126"/>
      </w:tblGrid>
      <w:tr>
        <w:tc>
          <w:tcPr>
            <w:tcW w:type="dxa" w:w="29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Rôle du Hub</w:t>
            </w:r>
          </w:p>
        </w:tc>
        <w:tc>
          <w:tcPr>
            <w:tcW w:type="dxa" w:w="61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Détail</w:t>
            </w:r>
          </w:p>
        </w:tc>
      </w:tr>
      <w:tr>
        <w:tc>
          <w:tcPr>
            <w:tcW w:type="dxa" w:w="29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Création de compte &amp; connexion</w:t>
            </w:r>
          </w:p>
        </w:tc>
        <w:tc>
          <w:tcPr>
            <w:tcW w:type="dxa" w:w="61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Un seul compte pour tout l'écosystème Wilinwi</w:t>
            </w:r>
          </w:p>
        </w:tc>
      </w:tr>
      <w:tr>
        <w:tc>
          <w:tcPr>
            <w:tcW w:type="dxa" w:w="29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Authentification unique (SSO)</w:t>
            </w:r>
          </w:p>
        </w:tc>
        <w:tc>
          <w:tcPr>
            <w:tcW w:type="dxa" w:w="61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Le commerçant se connecte une fois, accède à tous ses modules autorisés</w:t>
            </w:r>
          </w:p>
        </w:tc>
      </w:tr>
      <w:tr>
        <w:tc>
          <w:tcPr>
            <w:tcW w:type="dxa" w:w="29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Tableau de modules</w:t>
            </w:r>
          </w:p>
        </w:tc>
        <w:tc>
          <w:tcPr>
            <w:tcW w:type="dxa" w:w="61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Gros boutons : POS · Stock · Pay · CRM · Market · Analytics · AI</w:t>
            </w:r>
          </w:p>
        </w:tc>
      </w:tr>
      <w:tr>
        <w:tc>
          <w:tcPr>
            <w:tcW w:type="dxa" w:w="29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Redirection</w:t>
            </w:r>
          </w:p>
        </w:tc>
        <w:tc>
          <w:tcPr>
            <w:tcW w:type="dxa" w:w="61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Un clic sur un bouton ouvre le module correspondant, déjà authentifié</w:t>
            </w:r>
          </w:p>
        </w:tc>
      </w:tr>
      <w:tr>
        <w:tc>
          <w:tcPr>
            <w:tcW w:type="dxa" w:w="29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Gating premium</w:t>
            </w:r>
          </w:p>
        </w:tc>
        <w:tc>
          <w:tcPr>
            <w:tcW w:type="dxa" w:w="61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Affiche les modules inclus dans l'abonnement, propose ceux à débloquer</w:t>
            </w:r>
          </w:p>
        </w:tc>
      </w:tr>
    </w:tbl>
    <w:p>
      <w:pPr>
        <w:spacing w:after="60" w:before="60"/>
        <w:jc w:val="left"/>
      </w:pPr>
      <w:r>
        <w:rPr>
          <w:rFonts w:ascii="Arial" w:cs="Arial" w:eastAsia="Arial" w:hAnsi="Arial"/>
          <w:b w:val="false"/>
          <w:bCs w:val="false"/>
          <w:i w:val="false"/>
          <w:iCs w:val="false"/>
          <w:color w:val="121417"/>
          <w:sz w:val="21"/>
          <w:szCs w:val="21"/>
        </w:rPr>
        <w:t xml:space="preserve"/>
      </w:r>
    </w:p>
    <w:p>
      <w:pPr>
        <w:pBdr>
          <w:left w:val="single" w:color="F59E0B" w:sz="8" w:space="10"/>
        </w:pBdr>
        <w:shd w:fill="FEF3D9" w:val="clear"/>
        <w:spacing w:after="80" w:before="80"/>
      </w:pPr>
      <w:r>
        <w:rPr>
          <w:rFonts w:ascii="Arial" w:cs="Arial" w:eastAsia="Arial" w:hAnsi="Arial"/>
          <w:i/>
          <w:iCs/>
          <w:color w:val="12355B"/>
          <w:sz w:val="21"/>
          <w:szCs w:val="21"/>
        </w:rPr>
        <w:t xml:space="preserve">Le gating premium se gère au niveau du Hub et de l'abonnement, pas en séparant le code. Une couturière qui n'a pas besoin du CRM, de l'Analytics ou de l'IA ne voit (et ne paie) que les modules qu'elle utilise.</w:t>
      </w:r>
    </w:p>
    <w:p>
      <w:pPr>
        <w:spacing w:after="0" w:before="0"/>
      </w:pPr>
      <w:r>
        <w:br w:type="page"/>
      </w:r>
    </w:p>
    <w:p>
      <w:pPr>
        <w:pStyle w:val="Heading2"/>
        <w:spacing w:after="120" w:before="260"/>
      </w:pPr>
      <w:r>
        <w:rPr>
          <w:rFonts w:ascii="Arial" w:cs="Arial" w:eastAsia="Arial" w:hAnsi="Arial"/>
          <w:b/>
          <w:bCs/>
          <w:color w:val="00A86B"/>
          <w:sz w:val="25"/>
          <w:szCs w:val="25"/>
        </w:rPr>
        <w:t xml:space="preserve">4.3 — Le Choix Technique : Monolithe Modulaire</w:t>
      </w:r>
    </w:p>
    <w:p>
      <w:pPr>
        <w:spacing w:after="60" w:before="60"/>
        <w:jc w:val="left"/>
      </w:pPr>
      <w:r>
        <w:rPr>
          <w:rFonts w:ascii="Arial" w:cs="Arial" w:eastAsia="Arial" w:hAnsi="Arial"/>
          <w:b w:val="false"/>
          <w:bCs w:val="false"/>
          <w:i w:val="false"/>
          <w:iCs w:val="false"/>
          <w:color w:val="121417"/>
          <w:sz w:val="21"/>
          <w:szCs w:val="21"/>
        </w:rPr>
        <w:t xml:space="preserve">Point essentiel à ne pas confondre : « séparé pour l'utilisateur » et « séparé techniquement » sont deux choses différentes. Wilinwi est séparé en modules du point de vue de l'usage et de la vente, mais repose sur un cœur technique unique.</w:t>
      </w:r>
    </w:p>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900"/>
        <w:gridCol w:w="3600"/>
        <w:gridCol w:w="3526"/>
      </w:tblGrid>
      <w:tr>
        <w:tc>
          <w:tcPr>
            <w:tcW w:type="dxa" w:w="19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Couche</w:t>
            </w:r>
          </w:p>
        </w:tc>
        <w:tc>
          <w:tcPr>
            <w:tcW w:type="dxa" w:w="36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Décision</w:t>
            </w:r>
          </w:p>
        </w:tc>
        <w:tc>
          <w:tcPr>
            <w:tcW w:type="dxa" w:w="35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Pourquoi</w:t>
            </w:r>
          </w:p>
        </w:tc>
      </w:tr>
      <w:tr>
        <w:tc>
          <w:tcPr>
            <w:tcW w:type="dxa" w:w="19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Base de données</w:t>
            </w:r>
          </w:p>
        </w:tc>
        <w:tc>
          <w:tcPr>
            <w:tcW w:type="dxa" w:w="36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UNE seule base partagée (multi-tenant, RLS)</w:t>
            </w:r>
          </w:p>
        </w:tc>
        <w:tc>
          <w:tcPr>
            <w:tcW w:type="dxa" w:w="35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Une vente dans POS décrémente le Stock instantanément, sans appel réseau</w:t>
            </w:r>
          </w:p>
        </w:tc>
      </w:tr>
      <w:tr>
        <w:tc>
          <w:tcPr>
            <w:tcW w:type="dxa" w:w="19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Backend</w:t>
            </w:r>
          </w:p>
        </w:tc>
        <w:tc>
          <w:tcPr>
            <w:tcW w:type="dxa" w:w="36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UN seul backend, découpé en modules internes propres (pos/, stock/, pay/...)</w:t>
            </w:r>
          </w:p>
        </w:tc>
        <w:tc>
          <w:tcPr>
            <w:tcW w:type="dxa" w:w="35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Rangé comme 7 produits, déployé comme un seul service</w:t>
            </w:r>
          </w:p>
        </w:tc>
      </w:tr>
      <w:tr>
        <w:tc>
          <w:tcPr>
            <w:tcW w:type="dxa" w:w="19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Frontends</w:t>
            </w:r>
          </w:p>
        </w:tc>
        <w:tc>
          <w:tcPr>
            <w:tcW w:type="dxa" w:w="36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Modulaires : sous-domaines (pos.wilinwi.com...) ou sections d'une même app</w:t>
            </w:r>
          </w:p>
        </w:tc>
        <w:tc>
          <w:tcPr>
            <w:tcW w:type="dxa" w:w="35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Sentiment de modules distincts, mais même cœur de données</w:t>
            </w:r>
          </w:p>
        </w:tc>
      </w:tr>
      <w:tr>
        <w:tc>
          <w:tcPr>
            <w:tcW w:type="dxa" w:w="19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Hub</w:t>
            </w:r>
          </w:p>
        </w:tc>
        <w:tc>
          <w:tcPr>
            <w:tcW w:type="dxa" w:w="36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Portail SSO au-dessus de tout</w:t>
            </w:r>
          </w:p>
        </w:tc>
        <w:tc>
          <w:tcPr>
            <w:tcW w:type="dxa" w:w="35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Compte unique, gating premium, redirection</w:t>
            </w:r>
          </w:p>
        </w:tc>
      </w:tr>
    </w:tbl>
    <w:p>
      <w:pPr>
        <w:spacing w:after="60" w:before="60"/>
        <w:jc w:val="left"/>
      </w:pPr>
      <w:r>
        <w:rPr>
          <w:rFonts w:ascii="Arial" w:cs="Arial" w:eastAsia="Arial" w:hAnsi="Arial"/>
          <w:b w:val="false"/>
          <w:bCs w:val="false"/>
          <w:i w:val="false"/>
          <w:iCs w:val="false"/>
          <w:color w:val="121417"/>
          <w:sz w:val="21"/>
          <w:szCs w:val="21"/>
        </w:rPr>
        <w:t xml:space="preserve"/>
      </w:r>
    </w:p>
    <w:p>
      <w:pPr>
        <w:pStyle w:val="Heading3"/>
        <w:spacing w:after="90" w:before="180"/>
      </w:pPr>
      <w:r>
        <w:rPr>
          <w:rFonts w:ascii="Arial" w:cs="Arial" w:eastAsia="Arial" w:hAnsi="Arial"/>
          <w:b/>
          <w:bCs/>
          <w:color w:val="F59E0B"/>
          <w:sz w:val="22"/>
          <w:szCs w:val="22"/>
        </w:rPr>
        <w:t xml:space="preserve">◆ Schéma de l'architecture</w:t>
      </w:r>
    </w:p>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9026"/>
      </w:tblGrid>
      <w:tr>
        <w:tc>
          <w:tcPr>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10" w:before="60"/>
              <w:jc w:val="center"/>
            </w:pPr>
            <w:r>
              <w:rPr>
                <w:rFonts w:ascii="Arial" w:cs="Arial" w:eastAsia="Arial" w:hAnsi="Arial"/>
                <w:b/>
                <w:bCs/>
                <w:color w:val="FFFFFF"/>
                <w:sz w:val="22"/>
                <w:szCs w:val="22"/>
              </w:rPr>
              <w:t xml:space="preserve">HUB — hub.wilinwi.com</w:t>
            </w:r>
          </w:p>
          <w:p>
            <w:pPr>
              <w:spacing w:after="60" w:before="0"/>
              <w:jc w:val="center"/>
            </w:pPr>
            <w:r>
              <w:rPr>
                <w:rFonts w:ascii="Arial" w:cs="Arial" w:eastAsia="Arial" w:hAnsi="Arial"/>
                <w:i/>
                <w:iCs/>
                <w:color w:val="FFFFFF"/>
                <w:sz w:val="18"/>
                <w:szCs w:val="18"/>
              </w:rPr>
              <w:t xml:space="preserve">Compte unique · SSO · Gros boutons · Gating premium</w:t>
            </w:r>
          </w:p>
        </w:tc>
      </w:tr>
    </w:tbl>
    <w:p>
      <w:pPr>
        <w:spacing w:after="40" w:before="40"/>
        <w:jc w:val="center"/>
      </w:pPr>
      <w:r>
        <w:rPr>
          <w:rFonts w:ascii="Arial" w:cs="Arial" w:eastAsia="Arial" w:hAnsi="Arial"/>
          <w:i/>
          <w:iCs/>
          <w:color w:val="5A6573"/>
          <w:sz w:val="18"/>
          <w:szCs w:val="18"/>
        </w:rPr>
        <w:t xml:space="preserve">▼  le compte unique ouvre les modules autorisés  ▼</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289"/>
        <w:gridCol w:w="1289"/>
        <w:gridCol w:w="1289"/>
        <w:gridCol w:w="1290"/>
        <w:gridCol w:w="1289"/>
        <w:gridCol w:w="1289"/>
        <w:gridCol w:w="1291"/>
      </w:tblGrid>
      <w:tr>
        <w:tc>
          <w:tcPr>
            <w:tcW w:type="dxa" w:w="1289"/>
            <w:tcBorders>
              <w:top w:val="single" w:color="00A86B" w:sz="1"/>
              <w:left w:val="single" w:color="00A86B" w:sz="1"/>
              <w:bottom w:val="single" w:color="00A86B" w:sz="1"/>
              <w:right w:val="single" w:color="00A86B" w:sz="1"/>
            </w:tcBorders>
            <w:shd w:fill="00A86B" w:val="clear"/>
            <w:tcMar>
              <w:top w:type="dxa" w:w="70"/>
              <w:left w:type="dxa" w:w="130"/>
              <w:bottom w:type="dxa" w:w="70"/>
              <w:right w:type="dxa" w:w="130"/>
            </w:tcMar>
            <w:vAlign w:val="center"/>
          </w:tcPr>
          <w:p>
            <w:pPr>
              <w:spacing w:after="50" w:before="50"/>
              <w:jc w:val="center"/>
            </w:pPr>
            <w:r>
              <w:rPr>
                <w:rFonts w:ascii="Arial" w:cs="Arial" w:eastAsia="Arial" w:hAnsi="Arial"/>
                <w:b/>
                <w:bCs/>
                <w:color w:val="FFFFFF"/>
                <w:sz w:val="17"/>
                <w:szCs w:val="17"/>
              </w:rPr>
              <w:t xml:space="preserve">POS</w:t>
            </w:r>
          </w:p>
        </w:tc>
        <w:tc>
          <w:tcPr>
            <w:tcW w:type="dxa" w:w="1289"/>
            <w:tcBorders>
              <w:top w:val="single" w:color="00A86B" w:sz="1"/>
              <w:left w:val="single" w:color="00A86B" w:sz="1"/>
              <w:bottom w:val="single" w:color="00A86B" w:sz="1"/>
              <w:right w:val="single" w:color="00A86B" w:sz="1"/>
            </w:tcBorders>
            <w:shd w:fill="00A86B" w:val="clear"/>
            <w:tcMar>
              <w:top w:type="dxa" w:w="70"/>
              <w:left w:type="dxa" w:w="130"/>
              <w:bottom w:type="dxa" w:w="70"/>
              <w:right w:type="dxa" w:w="130"/>
            </w:tcMar>
            <w:vAlign w:val="center"/>
          </w:tcPr>
          <w:p>
            <w:pPr>
              <w:spacing w:after="50" w:before="50"/>
              <w:jc w:val="center"/>
            </w:pPr>
            <w:r>
              <w:rPr>
                <w:rFonts w:ascii="Arial" w:cs="Arial" w:eastAsia="Arial" w:hAnsi="Arial"/>
                <w:b/>
                <w:bCs/>
                <w:color w:val="FFFFFF"/>
                <w:sz w:val="17"/>
                <w:szCs w:val="17"/>
              </w:rPr>
              <w:t xml:space="preserve">Stock</w:t>
            </w:r>
          </w:p>
        </w:tc>
        <w:tc>
          <w:tcPr>
            <w:tcW w:type="dxa" w:w="1289"/>
            <w:tcBorders>
              <w:top w:val="single" w:color="F59E0B" w:sz="1"/>
              <w:left w:val="single" w:color="F59E0B" w:sz="1"/>
              <w:bottom w:val="single" w:color="F59E0B" w:sz="1"/>
              <w:right w:val="single" w:color="F59E0B" w:sz="1"/>
            </w:tcBorders>
            <w:shd w:fill="F59E0B" w:val="clear"/>
            <w:tcMar>
              <w:top w:type="dxa" w:w="70"/>
              <w:left w:type="dxa" w:w="130"/>
              <w:bottom w:type="dxa" w:w="70"/>
              <w:right w:type="dxa" w:w="130"/>
            </w:tcMar>
            <w:vAlign w:val="center"/>
          </w:tcPr>
          <w:p>
            <w:pPr>
              <w:spacing w:after="50" w:before="50"/>
              <w:jc w:val="center"/>
            </w:pPr>
            <w:r>
              <w:rPr>
                <w:rFonts w:ascii="Arial" w:cs="Arial" w:eastAsia="Arial" w:hAnsi="Arial"/>
                <w:b/>
                <w:bCs/>
                <w:color w:val="FFFFFF"/>
                <w:sz w:val="17"/>
                <w:szCs w:val="17"/>
              </w:rPr>
              <w:t xml:space="preserve">Pay</w:t>
            </w:r>
          </w:p>
        </w:tc>
        <w:tc>
          <w:tcPr>
            <w:tcW w:type="dxa" w:w="1290"/>
            <w:tcBorders>
              <w:top w:val="single" w:color="F59E0B" w:sz="1"/>
              <w:left w:val="single" w:color="F59E0B" w:sz="1"/>
              <w:bottom w:val="single" w:color="F59E0B" w:sz="1"/>
              <w:right w:val="single" w:color="F59E0B" w:sz="1"/>
            </w:tcBorders>
            <w:shd w:fill="F59E0B" w:val="clear"/>
            <w:tcMar>
              <w:top w:type="dxa" w:w="70"/>
              <w:left w:type="dxa" w:w="130"/>
              <w:bottom w:type="dxa" w:w="70"/>
              <w:right w:type="dxa" w:w="130"/>
            </w:tcMar>
            <w:vAlign w:val="center"/>
          </w:tcPr>
          <w:p>
            <w:pPr>
              <w:spacing w:after="50" w:before="50"/>
              <w:jc w:val="center"/>
            </w:pPr>
            <w:r>
              <w:rPr>
                <w:rFonts w:ascii="Arial" w:cs="Arial" w:eastAsia="Arial" w:hAnsi="Arial"/>
                <w:b/>
                <w:bCs/>
                <w:color w:val="FFFFFF"/>
                <w:sz w:val="17"/>
                <w:szCs w:val="17"/>
              </w:rPr>
              <w:t xml:space="preserve">CRM</w:t>
            </w:r>
          </w:p>
        </w:tc>
        <w:tc>
          <w:tcPr>
            <w:tcW w:type="dxa" w:w="1289"/>
            <w:tcBorders>
              <w:top w:val="single" w:color="F59E0B" w:sz="1"/>
              <w:left w:val="single" w:color="F59E0B" w:sz="1"/>
              <w:bottom w:val="single" w:color="F59E0B" w:sz="1"/>
              <w:right w:val="single" w:color="F59E0B" w:sz="1"/>
            </w:tcBorders>
            <w:shd w:fill="F59E0B" w:val="clear"/>
            <w:tcMar>
              <w:top w:type="dxa" w:w="70"/>
              <w:left w:type="dxa" w:w="130"/>
              <w:bottom w:type="dxa" w:w="70"/>
              <w:right w:type="dxa" w:w="130"/>
            </w:tcMar>
            <w:vAlign w:val="center"/>
          </w:tcPr>
          <w:p>
            <w:pPr>
              <w:spacing w:after="50" w:before="50"/>
              <w:jc w:val="center"/>
            </w:pPr>
            <w:r>
              <w:rPr>
                <w:rFonts w:ascii="Arial" w:cs="Arial" w:eastAsia="Arial" w:hAnsi="Arial"/>
                <w:b/>
                <w:bCs/>
                <w:color w:val="FFFFFF"/>
                <w:sz w:val="17"/>
                <w:szCs w:val="17"/>
              </w:rPr>
              <w:t xml:space="preserve">Market</w:t>
            </w:r>
          </w:p>
        </w:tc>
        <w:tc>
          <w:tcPr>
            <w:tcW w:type="dxa" w:w="1289"/>
            <w:tcBorders>
              <w:top w:val="single" w:color="6B4E9C" w:sz="1"/>
              <w:left w:val="single" w:color="6B4E9C" w:sz="1"/>
              <w:bottom w:val="single" w:color="6B4E9C" w:sz="1"/>
              <w:right w:val="single" w:color="6B4E9C" w:sz="1"/>
            </w:tcBorders>
            <w:shd w:fill="6B4E9C" w:val="clear"/>
            <w:tcMar>
              <w:top w:type="dxa" w:w="70"/>
              <w:left w:type="dxa" w:w="130"/>
              <w:bottom w:type="dxa" w:w="70"/>
              <w:right w:type="dxa" w:w="130"/>
            </w:tcMar>
            <w:vAlign w:val="center"/>
          </w:tcPr>
          <w:p>
            <w:pPr>
              <w:spacing w:after="50" w:before="50"/>
              <w:jc w:val="center"/>
            </w:pPr>
            <w:r>
              <w:rPr>
                <w:rFonts w:ascii="Arial" w:cs="Arial" w:eastAsia="Arial" w:hAnsi="Arial"/>
                <w:b/>
                <w:bCs/>
                <w:color w:val="FFFFFF"/>
                <w:sz w:val="16"/>
                <w:szCs w:val="16"/>
              </w:rPr>
              <w:t xml:space="preserve">Analytics</w:t>
            </w:r>
          </w:p>
        </w:tc>
        <w:tc>
          <w:tcPr>
            <w:tcW w:type="dxa" w:w="1291"/>
            <w:tcBorders>
              <w:top w:val="single" w:color="6B4E9C" w:sz="1"/>
              <w:left w:val="single" w:color="6B4E9C" w:sz="1"/>
              <w:bottom w:val="single" w:color="6B4E9C" w:sz="1"/>
              <w:right w:val="single" w:color="6B4E9C" w:sz="1"/>
            </w:tcBorders>
            <w:shd w:fill="6B4E9C" w:val="clear"/>
            <w:tcMar>
              <w:top w:type="dxa" w:w="70"/>
              <w:left w:type="dxa" w:w="130"/>
              <w:bottom w:type="dxa" w:w="70"/>
              <w:right w:type="dxa" w:w="130"/>
            </w:tcMar>
            <w:vAlign w:val="center"/>
          </w:tcPr>
          <w:p>
            <w:pPr>
              <w:spacing w:after="50" w:before="50"/>
              <w:jc w:val="center"/>
            </w:pPr>
            <w:r>
              <w:rPr>
                <w:rFonts w:ascii="Arial" w:cs="Arial" w:eastAsia="Arial" w:hAnsi="Arial"/>
                <w:b/>
                <w:bCs/>
                <w:color w:val="FFFFFF"/>
                <w:sz w:val="17"/>
                <w:szCs w:val="17"/>
              </w:rPr>
              <w:t xml:space="preserve">AI</w:t>
            </w:r>
          </w:p>
        </w:tc>
      </w:tr>
    </w:tbl>
    <w:p>
      <w:pPr>
        <w:spacing w:after="40" w:before="40"/>
        <w:jc w:val="center"/>
      </w:pPr>
      <w:r>
        <w:rPr>
          <w:rFonts w:ascii="Arial" w:cs="Arial" w:eastAsia="Arial" w:hAnsi="Arial"/>
          <w:i/>
          <w:iCs/>
          <w:color w:val="5A6573"/>
          <w:sz w:val="18"/>
          <w:szCs w:val="18"/>
        </w:rPr>
        <w:t xml:space="preserve">▼  tous les modules parlent au même cœur  ▼</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9026"/>
      </w:tblGrid>
      <w:tr>
        <w:tc>
          <w:tcPr>
            <w:tcBorders>
              <w:top w:val="single" w:color="121417" w:sz="1"/>
              <w:left w:val="single" w:color="121417" w:sz="1"/>
              <w:bottom w:val="single" w:color="121417" w:sz="1"/>
              <w:right w:val="single" w:color="121417" w:sz="1"/>
            </w:tcBorders>
            <w:shd w:fill="121417" w:val="clear"/>
            <w:tcMar>
              <w:top w:type="dxa" w:w="70"/>
              <w:left w:type="dxa" w:w="130"/>
              <w:bottom w:type="dxa" w:w="70"/>
              <w:right w:type="dxa" w:w="130"/>
            </w:tcMar>
            <w:vAlign w:val="center"/>
          </w:tcPr>
          <w:p>
            <w:pPr>
              <w:spacing w:after="10" w:before="60"/>
              <w:jc w:val="center"/>
            </w:pPr>
            <w:r>
              <w:rPr>
                <w:rFonts w:ascii="Arial" w:cs="Arial" w:eastAsia="Arial" w:hAnsi="Arial"/>
                <w:b/>
                <w:bCs/>
                <w:color w:val="FFFFFF"/>
                <w:sz w:val="21"/>
                <w:szCs w:val="21"/>
              </w:rPr>
              <w:t xml:space="preserve">1 BACKEND MODULAIRE  +  1 BASE DE DONNÉES (RLS)</w:t>
            </w:r>
          </w:p>
          <w:p>
            <w:pPr>
              <w:spacing w:after="60" w:before="0"/>
              <w:jc w:val="center"/>
            </w:pPr>
            <w:r>
              <w:rPr>
                <w:rFonts w:ascii="Arial" w:cs="Arial" w:eastAsia="Arial" w:hAnsi="Arial"/>
                <w:i/>
                <w:iCs/>
                <w:color w:val="FFFFFF"/>
                <w:sz w:val="18"/>
                <w:szCs w:val="18"/>
              </w:rPr>
              <w:t xml:space="preserve">Cœur unique partagé — rend l'offline-first possible</w:t>
            </w:r>
          </w:p>
        </w:tc>
      </w:tr>
    </w:tbl>
    <w:p>
      <w:pPr>
        <w:spacing w:after="60" w:before="60"/>
        <w:jc w:val="left"/>
      </w:pPr>
      <w:r>
        <w:rPr>
          <w:rFonts w:ascii="Arial" w:cs="Arial" w:eastAsia="Arial" w:hAnsi="Arial"/>
          <w:b w:val="false"/>
          <w:bCs w:val="false"/>
          <w:i w:val="false"/>
          <w:iCs w:val="false"/>
          <w:color w:val="121417"/>
          <w:sz w:val="21"/>
          <w:szCs w:val="21"/>
        </w:rPr>
        <w:t xml:space="preserve"/>
      </w:r>
    </w:p>
    <w:p>
      <w:pPr>
        <w:pBdr>
          <w:left w:val="single" w:color="00A86B" w:sz="8" w:space="10"/>
        </w:pBdr>
        <w:shd w:fill="E1F5EC" w:val="clear"/>
        <w:spacing w:after="80" w:before="80"/>
      </w:pPr>
      <w:r>
        <w:rPr>
          <w:rFonts w:ascii="Arial" w:cs="Arial" w:eastAsia="Arial" w:hAnsi="Arial"/>
          <w:i/>
          <w:iCs/>
          <w:color w:val="12355B"/>
          <w:sz w:val="21"/>
          <w:szCs w:val="21"/>
        </w:rPr>
        <w:t xml:space="preserve">POS + Stock + Pay forment le cœur soudé : ils touchent à la même transaction (vente, stock, encaissement) et ne doivent jamais être séparés — c'est aussi ce qui garantit le fonctionnement hors-ligne.</w:t>
      </w:r>
    </w:p>
    <w:p>
      <w:pPr>
        <w:spacing w:after="0" w:before="0"/>
      </w:pPr>
      <w:r>
        <w:br w:type="page"/>
      </w:r>
    </w:p>
    <w:p>
      <w:pPr>
        <w:pStyle w:val="Heading2"/>
        <w:spacing w:after="120" w:before="260"/>
      </w:pPr>
      <w:r>
        <w:rPr>
          <w:rFonts w:ascii="Arial" w:cs="Arial" w:eastAsia="Arial" w:hAnsi="Arial"/>
          <w:b/>
          <w:bCs/>
          <w:color w:val="00A86B"/>
          <w:sz w:val="25"/>
          <w:szCs w:val="25"/>
        </w:rPr>
        <w:t xml:space="preserve">4.4 — Évolution vers les Microservices (plus tard)</w:t>
      </w:r>
    </w:p>
    <w:p>
      <w:pPr>
        <w:spacing w:after="60" w:before="60"/>
        <w:jc w:val="left"/>
      </w:pPr>
      <w:r>
        <w:rPr>
          <w:rFonts w:ascii="Arial" w:cs="Arial" w:eastAsia="Arial" w:hAnsi="Arial"/>
          <w:b w:val="false"/>
          <w:bCs w:val="false"/>
          <w:i w:val="false"/>
          <w:iCs w:val="false"/>
          <w:color w:val="121417"/>
          <w:sz w:val="21"/>
          <w:szCs w:val="21"/>
        </w:rPr>
        <w:t xml:space="preserve">Le code étant rangé en modules propres dès le départ, on pourra détacher en vrais services indépendants ce qui le mérite, le jour où le volume et les revenus le justifient — sans tout reconstruire.</w:t>
      </w:r>
    </w:p>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2400"/>
        <w:gridCol w:w="4226"/>
      </w:tblGrid>
      <w:tr>
        <w:tc>
          <w:tcPr>
            <w:tcW w:type="dxa" w:w="24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Composant</w:t>
            </w:r>
          </w:p>
        </w:tc>
        <w:tc>
          <w:tcPr>
            <w:tcW w:type="dxa" w:w="24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Détachable un jour ?</w:t>
            </w:r>
          </w:p>
        </w:tc>
        <w:tc>
          <w:tcPr>
            <w:tcW w:type="dxa" w:w="42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Pourquoi</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POS + Stock + Pay</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Non — jamais</w:t>
            </w:r>
          </w:p>
        </w:tc>
        <w:tc>
          <w:tcPr>
            <w:tcW w:type="dxa" w:w="42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Cœur soudé d'une même transaction, besoin de l'offline</w:t>
            </w:r>
          </w:p>
        </w:tc>
      </w:tr>
      <w:tr>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CRM</w:t>
            </w:r>
          </w:p>
        </w:tc>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Possible (MVP3+)</w:t>
            </w:r>
          </w:p>
        </w:tc>
        <w:tc>
          <w:tcPr>
            <w:tcW w:type="dxa" w:w="42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Couplage modéré au cœur</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Market</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Oui</w:t>
            </w:r>
          </w:p>
        </w:tc>
        <w:tc>
          <w:tcPr>
            <w:tcW w:type="dxa" w:w="42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Autre audience (public), peut vivre à part</w:t>
            </w:r>
          </w:p>
        </w:tc>
      </w:tr>
      <w:tr>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Analytics</w:t>
            </w:r>
          </w:p>
        </w:tc>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Oui</w:t>
            </w:r>
          </w:p>
        </w:tc>
        <w:tc>
          <w:tcPr>
            <w:tcW w:type="dxa" w:w="42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Lecture seule, gros calculs</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AI</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Oui — naturellement</w:t>
            </w:r>
          </w:p>
        </w:tc>
        <w:tc>
          <w:tcPr>
            <w:tcW w:type="dxa" w:w="42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Autre techno, gros calculs, pas besoin d'offline</w:t>
            </w:r>
          </w:p>
        </w:tc>
      </w:tr>
    </w:tbl>
    <w:p>
      <w:pPr>
        <w:spacing w:after="60" w:before="60"/>
        <w:jc w:val="left"/>
      </w:pPr>
      <w:r>
        <w:rPr>
          <w:rFonts w:ascii="Arial" w:cs="Arial" w:eastAsia="Arial" w:hAnsi="Arial"/>
          <w:b w:val="false"/>
          <w:bCs w:val="false"/>
          <w:i w:val="false"/>
          <w:iCs w:val="false"/>
          <w:color w:val="121417"/>
          <w:sz w:val="21"/>
          <w:szCs w:val="21"/>
        </w:rPr>
        <w:t xml:space="preserve"/>
      </w:r>
    </w:p>
    <w:p>
      <w:pPr>
        <w:pBdr>
          <w:left w:val="single" w:color="12355B" w:sz="8" w:space="10"/>
        </w:pBdr>
        <w:shd w:fill="E6ECF2" w:val="clear"/>
        <w:spacing w:after="80" w:before="80"/>
      </w:pPr>
      <w:r>
        <w:rPr>
          <w:rFonts w:ascii="Arial" w:cs="Arial" w:eastAsia="Arial" w:hAnsi="Arial"/>
          <w:i/>
          <w:iCs/>
          <w:color w:val="12355B"/>
          <w:sz w:val="21"/>
          <w:szCs w:val="21"/>
        </w:rPr>
        <w:t xml:space="preserve">Principe : commencer en monolithe modulaire (rapide à construire, parfait pour MVP1/2), puis extraire des microservices uniquement là où ça paie — l'IA et le Market en premier. C'est la trajectoire de la quasi-totalité des SaaS qui réussissent.</w:t>
      </w:r>
    </w:p>
    <w:p>
      <w:pPr>
        <w:spacing w:after="0" w:before="0"/>
      </w:pPr>
      <w:r>
        <w:br w:type="page"/>
      </w:r>
    </w:p>
    <w:p>
      <w:pPr>
        <w:pStyle w:val="Heading1"/>
        <w:pBdr>
          <w:bottom w:val="single" w:color="00A86B" w:sz="4" w:space="4"/>
        </w:pBdr>
        <w:spacing w:after="180" w:before="360"/>
      </w:pPr>
      <w:r>
        <w:rPr>
          <w:rFonts w:ascii="Arial" w:cs="Arial" w:eastAsia="Arial" w:hAnsi="Arial"/>
          <w:b/>
          <w:bCs/>
          <w:caps/>
          <w:color w:val="12355B"/>
          <w:sz w:val="34"/>
          <w:szCs w:val="34"/>
        </w:rPr>
        <w:t xml:space="preserve">5. Modules — MVP1 : Le Socle</w:t>
      </w:r>
    </w:p>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9026"/>
      </w:tblGrid>
      <w:tr>
        <w:tc>
          <w:tcPr>
            <w:tcBorders>
              <w:top w:val="single" w:color="00A86B" w:sz="1"/>
              <w:left w:val="single" w:color="00A86B" w:sz="1"/>
              <w:bottom w:val="single" w:color="00A86B" w:sz="1"/>
              <w:right w:val="single" w:color="00A86B" w:sz="1"/>
            </w:tcBorders>
            <w:shd w:fill="00A86B" w:val="clear"/>
            <w:tcMar>
              <w:top w:type="dxa" w:w="70"/>
              <w:left w:type="dxa" w:w="130"/>
              <w:bottom w:type="dxa" w:w="70"/>
              <w:right w:type="dxa" w:w="130"/>
            </w:tcMar>
            <w:vAlign w:val="center"/>
          </w:tcPr>
          <w:p>
            <w:pPr>
              <w:spacing w:after="10" w:before="70"/>
              <w:jc w:val="center"/>
            </w:pPr>
            <w:r>
              <w:rPr>
                <w:rFonts w:ascii="Arial" w:cs="Arial" w:eastAsia="Arial" w:hAnsi="Arial"/>
                <w:b/>
                <w:bCs/>
                <w:caps/>
                <w:color w:val="FFFFFF"/>
                <w:sz w:val="26"/>
                <w:szCs w:val="26"/>
              </w:rPr>
              <w:t xml:space="preserve">MVP1 — LE SOCLE</w:t>
            </w:r>
          </w:p>
          <w:p>
            <w:pPr>
              <w:spacing w:after="70" w:before="0"/>
              <w:jc w:val="center"/>
            </w:pPr>
            <w:r>
              <w:rPr>
                <w:rFonts w:ascii="Arial" w:cs="Arial" w:eastAsia="Arial" w:hAnsi="Arial"/>
                <w:i/>
                <w:iCs/>
                <w:color w:val="FFFFFF"/>
                <w:sz w:val="19"/>
                <w:szCs w:val="19"/>
              </w:rPr>
              <w:t xml:space="preserve">Vendre et suivre, dès le premier jour, même sans réseau</w:t>
            </w:r>
          </w:p>
        </w:tc>
      </w:tr>
    </w:tbl>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5.1 — 🧠 Tableau de Bord (Wilinwi Analytics — base)</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700"/>
        <w:gridCol w:w="6326"/>
      </w:tblGrid>
      <w:tr>
        <w:tc>
          <w:tcPr>
            <w:tcW w:type="dxa" w:w="27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Indicateur</w:t>
            </w:r>
          </w:p>
        </w:tc>
        <w:tc>
          <w:tcPr>
            <w:tcW w:type="dxa" w:w="63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Ce qu'il montre</w:t>
            </w:r>
          </w:p>
        </w:tc>
      </w:tr>
      <w:tr>
        <w:tc>
          <w:tcPr>
            <w:tcW w:type="dxa" w:w="2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Ventes du jour</w:t>
            </w:r>
          </w:p>
        </w:tc>
        <w:tc>
          <w:tcPr>
            <w:tcW w:type="dxa" w:w="63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Montant encaissé + nombre d'articles vendus</w:t>
            </w:r>
          </w:p>
        </w:tc>
      </w:tr>
      <w:tr>
        <w:tc>
          <w:tcPr>
            <w:tcW w:type="dxa" w:w="27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Valeur du stock</w:t>
            </w:r>
          </w:p>
        </w:tc>
        <w:tc>
          <w:tcPr>
            <w:tcW w:type="dxa" w:w="63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Au prix d'achat (argent immobilisé) et au prix catalogue (potentiel)</w:t>
            </w:r>
          </w:p>
        </w:tc>
      </w:tr>
      <w:tr>
        <w:tc>
          <w:tcPr>
            <w:tcW w:type="dxa" w:w="2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Bénéfice</w:t>
            </w:r>
          </w:p>
        </w:tc>
        <w:tc>
          <w:tcPr>
            <w:tcW w:type="dxa" w:w="63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Ventes − coût des produits vendus, par jour/semaine/mois</w:t>
            </w:r>
          </w:p>
        </w:tc>
      </w:tr>
      <w:tr>
        <w:tc>
          <w:tcPr>
            <w:tcW w:type="dxa" w:w="27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Alertes stock</w:t>
            </w:r>
          </w:p>
        </w:tc>
        <w:tc>
          <w:tcPr>
            <w:tcW w:type="dxa" w:w="63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Ruptures proches, produits dormants</w:t>
            </w:r>
          </w:p>
        </w:tc>
      </w:tr>
    </w:tbl>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5.2 — ❤️ Gestion de Stock (Wilinwi Stock)</w:t>
      </w:r>
    </w:p>
    <w:p>
      <w:pPr>
        <w:pStyle w:val="ListParagraph"/>
        <w:numPr>
          <w:ilvl w:val="0"/>
          <w:numId w:val="2"/>
        </w:numPr>
        <w:spacing w:after="40" w:before="40"/>
      </w:pPr>
      <w:r>
        <w:rPr>
          <w:rFonts w:ascii="Arial" w:cs="Arial" w:eastAsia="Arial" w:hAnsi="Arial"/>
          <w:color w:val="121417"/>
          <w:sz w:val="21"/>
          <w:szCs w:val="21"/>
        </w:rPr>
        <w:t xml:space="preserve">Fiche produit : nom, photos, catégorie, variantes (taille, couleur, longueur)</w:t>
      </w:r>
    </w:p>
    <w:p>
      <w:pPr>
        <w:pStyle w:val="ListParagraph"/>
        <w:numPr>
          <w:ilvl w:val="0"/>
          <w:numId w:val="2"/>
        </w:numPr>
        <w:spacing w:after="40" w:before="40"/>
      </w:pPr>
      <w:r>
        <w:rPr>
          <w:rFonts w:ascii="Arial" w:cs="Arial" w:eastAsia="Arial" w:hAnsi="Arial"/>
          <w:color w:val="121417"/>
          <w:sz w:val="21"/>
          <w:szCs w:val="21"/>
        </w:rPr>
        <w:t xml:space="preserve">Quatre prix : prix d'achat, prix catalogue (max), prix plancher (min), prix réel (par vente)</w:t>
      </w:r>
    </w:p>
    <w:p>
      <w:pPr>
        <w:pStyle w:val="ListParagraph"/>
        <w:numPr>
          <w:ilvl w:val="0"/>
          <w:numId w:val="2"/>
        </w:numPr>
        <w:spacing w:after="40" w:before="40"/>
      </w:pPr>
      <w:r>
        <w:rPr>
          <w:rFonts w:ascii="Arial" w:cs="Arial" w:eastAsia="Arial" w:hAnsi="Arial"/>
          <w:color w:val="121417"/>
          <w:sz w:val="21"/>
          <w:szCs w:val="21"/>
        </w:rPr>
        <w:t xml:space="preserve">Mouvements : entrée, sortie automatique à la vente, ajustement</w:t>
      </w:r>
    </w:p>
    <w:p>
      <w:pPr>
        <w:pStyle w:val="ListParagraph"/>
        <w:numPr>
          <w:ilvl w:val="0"/>
          <w:numId w:val="2"/>
        </w:numPr>
        <w:spacing w:after="40" w:before="40"/>
      </w:pPr>
      <w:r>
        <w:rPr>
          <w:rFonts w:ascii="Arial" w:cs="Arial" w:eastAsia="Arial" w:hAnsi="Arial"/>
          <w:color w:val="121417"/>
          <w:sz w:val="21"/>
          <w:szCs w:val="21"/>
        </w:rPr>
        <w:t xml:space="preserve">Valorisation automatique du stock</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3"/>
        <w:spacing w:after="90" w:before="180"/>
      </w:pPr>
      <w:r>
        <w:rPr>
          <w:rFonts w:ascii="Arial" w:cs="Arial" w:eastAsia="Arial" w:hAnsi="Arial"/>
          <w:b/>
          <w:bCs/>
          <w:color w:val="F59E0B"/>
          <w:sz w:val="22"/>
          <w:szCs w:val="22"/>
        </w:rPr>
        <w:t xml:space="preserve">◆ Inventaire physique</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6626"/>
      </w:tblGrid>
      <w:tr>
        <w:tc>
          <w:tcPr>
            <w:tcW w:type="dxa" w:w="24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Étape</w:t>
            </w:r>
          </w:p>
        </w:tc>
        <w:tc>
          <w:tcPr>
            <w:tcW w:type="dxa" w:w="66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Action</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1. Lancer</w:t>
            </w:r>
          </w:p>
        </w:tc>
        <w:tc>
          <w:tcPr>
            <w:tcW w:type="dxa" w:w="6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Sélection de tout ou partie du catalogue à recompter</w:t>
            </w:r>
          </w:p>
        </w:tc>
      </w:tr>
      <w:tr>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2. Comptage</w:t>
            </w:r>
          </w:p>
        </w:tc>
        <w:tc>
          <w:tcPr>
            <w:tcW w:type="dxa" w:w="66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Saisie ou scan des quantités réelles trouvées en boutique</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3. Écarts</w:t>
            </w:r>
          </w:p>
        </w:tc>
        <w:tc>
          <w:tcPr>
            <w:tcW w:type="dxa" w:w="6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Affichage des différences (stock théorique vs réel)</w:t>
            </w:r>
          </w:p>
        </w:tc>
      </w:tr>
      <w:tr>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4. Validation</w:t>
            </w:r>
          </w:p>
        </w:tc>
        <w:tc>
          <w:tcPr>
            <w:tcW w:type="dxa" w:w="66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Le gérant valide, le stock système est corrigé, motif enregistré</w:t>
            </w:r>
          </w:p>
        </w:tc>
      </w:tr>
    </w:tbl>
    <w:p>
      <w:pPr>
        <w:spacing w:after="0" w:before="0"/>
      </w:pPr>
      <w:r>
        <w:br w:type="page"/>
      </w:r>
    </w:p>
    <w:p>
      <w:pPr>
        <w:pStyle w:val="Heading2"/>
        <w:spacing w:after="120" w:before="260"/>
      </w:pPr>
      <w:r>
        <w:rPr>
          <w:rFonts w:ascii="Arial" w:cs="Arial" w:eastAsia="Arial" w:hAnsi="Arial"/>
          <w:b/>
          <w:bCs/>
          <w:color w:val="00A86B"/>
          <w:sz w:val="25"/>
          <w:szCs w:val="25"/>
        </w:rPr>
        <w:t xml:space="preserve">5.3 — 🩸 Point de Vente (Wilinwi POS)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200"/>
        <w:gridCol w:w="6826"/>
      </w:tblGrid>
      <w:tr>
        <w:tc>
          <w:tcPr>
            <w:tcW w:type="dxa" w:w="22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Étape</w:t>
            </w:r>
          </w:p>
        </w:tc>
        <w:tc>
          <w:tcPr>
            <w:tcW w:type="dxa" w:w="68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Action</w:t>
            </w:r>
          </w:p>
        </w:tc>
      </w:tr>
      <w:tr>
        <w:tc>
          <w:tcPr>
            <w:tcW w:type="dxa" w:w="22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1. Sélection</w:t>
            </w:r>
          </w:p>
        </w:tc>
        <w:tc>
          <w:tcPr>
            <w:tcW w:type="dxa" w:w="68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Scan ou recherche du produit</w:t>
            </w:r>
          </w:p>
        </w:tc>
      </w:tr>
      <w:tr>
        <w:tc>
          <w:tcPr>
            <w:tcW w:type="dxa" w:w="22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2. Prix</w:t>
            </w:r>
          </w:p>
        </w:tc>
        <w:tc>
          <w:tcPr>
            <w:tcW w:type="dxa" w:w="68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Saisie du prix réel négocié (contrôle vs prix plancher)</w:t>
            </w:r>
          </w:p>
        </w:tc>
      </w:tr>
      <w:tr>
        <w:tc>
          <w:tcPr>
            <w:tcW w:type="dxa" w:w="22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3. Paiement</w:t>
            </w:r>
          </w:p>
        </w:tc>
        <w:tc>
          <w:tcPr>
            <w:tcW w:type="dxa" w:w="68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Espèces / MTN MoMo / Moov Money / Virement / Crédit / Acompte</w:t>
            </w:r>
          </w:p>
        </w:tc>
      </w:tr>
      <w:tr>
        <w:tc>
          <w:tcPr>
            <w:tcW w:type="dxa" w:w="22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4. Validation</w:t>
            </w:r>
          </w:p>
        </w:tc>
        <w:tc>
          <w:tcPr>
            <w:tcW w:type="dxa" w:w="68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Stock décrémenté automatiquement, vente enregistrée, reçu généré</w:t>
            </w:r>
          </w:p>
        </w:tc>
      </w:tr>
    </w:tbl>
    <w:p>
      <w:pPr>
        <w:spacing w:after="60" w:before="60"/>
        <w:jc w:val="left"/>
      </w:pPr>
      <w:r>
        <w:rPr>
          <w:rFonts w:ascii="Arial" w:cs="Arial" w:eastAsia="Arial" w:hAnsi="Arial"/>
          <w:b w:val="false"/>
          <w:bCs w:val="false"/>
          <w:i w:val="false"/>
          <w:iCs w:val="false"/>
          <w:color w:val="121417"/>
          <w:sz w:val="21"/>
          <w:szCs w:val="21"/>
        </w:rPr>
        <w:t xml:space="preserve"/>
      </w:r>
    </w:p>
    <w:p>
      <w:pPr>
        <w:pStyle w:val="Heading3"/>
        <w:spacing w:after="90" w:before="180"/>
      </w:pPr>
      <w:r>
        <w:rPr>
          <w:rFonts w:ascii="Arial" w:cs="Arial" w:eastAsia="Arial" w:hAnsi="Arial"/>
          <w:b/>
          <w:bCs/>
          <w:color w:val="F59E0B"/>
          <w:sz w:val="22"/>
          <w:szCs w:val="22"/>
        </w:rPr>
        <w:t xml:space="preserve">◆ Gestion des acomptes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200"/>
        <w:gridCol w:w="5826"/>
      </w:tblGrid>
      <w:tr>
        <w:tc>
          <w:tcPr>
            <w:tcW w:type="dxa" w:w="32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Champ</w:t>
            </w:r>
          </w:p>
        </w:tc>
        <w:tc>
          <w:tcPr>
            <w:tcW w:type="dxa" w:w="58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Rôle</w:t>
            </w:r>
          </w:p>
        </w:tc>
      </w:tr>
      <w:tr>
        <w:tc>
          <w:tcPr>
            <w:tcW w:type="dxa" w:w="32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Acompte versé</w:t>
            </w:r>
          </w:p>
        </w:tc>
        <w:tc>
          <w:tcPr>
            <w:tcW w:type="dxa" w:w="58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Montant payé immédiatement</w:t>
            </w:r>
          </w:p>
        </w:tc>
      </w:tr>
      <w:tr>
        <w:tc>
          <w:tcPr>
            <w:tcW w:type="dxa" w:w="32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Solde restant</w:t>
            </w:r>
          </w:p>
        </w:tc>
        <w:tc>
          <w:tcPr>
            <w:tcW w:type="dxa" w:w="58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Calculé automatiquement, suivi jusqu'au paiement complet</w:t>
            </w:r>
          </w:p>
        </w:tc>
      </w:tr>
      <w:tr>
        <w:tc>
          <w:tcPr>
            <w:tcW w:type="dxa" w:w="32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Statut</w:t>
            </w:r>
          </w:p>
        </w:tc>
        <w:tc>
          <w:tcPr>
            <w:tcW w:type="dxa" w:w="58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Acompte versé → Soldée / En attente / En retard</w:t>
            </w:r>
          </w:p>
        </w:tc>
      </w:tr>
    </w:tbl>
    <w:p>
      <w:pPr>
        <w:spacing w:after="0" w:before="0"/>
      </w:pPr>
      <w:r>
        <w:br w:type="page"/>
      </w:r>
    </w:p>
    <w:p>
      <w:pPr>
        <w:pStyle w:val="Heading2"/>
        <w:spacing w:after="120" w:before="260"/>
      </w:pPr>
      <w:r>
        <w:rPr>
          <w:rFonts w:ascii="Arial" w:cs="Arial" w:eastAsia="Arial" w:hAnsi="Arial"/>
          <w:b/>
          <w:bCs/>
          <w:color w:val="00A86B"/>
          <w:sz w:val="25"/>
          <w:szCs w:val="25"/>
        </w:rPr>
        <w:t xml:space="preserve">5.4 — 🦴 Mode Hors-Ligne natif</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700"/>
        <w:gridCol w:w="6326"/>
      </w:tblGrid>
      <w:tr>
        <w:tc>
          <w:tcPr>
            <w:tcW w:type="dxa" w:w="27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Situation</w:t>
            </w:r>
          </w:p>
        </w:tc>
        <w:tc>
          <w:tcPr>
            <w:tcW w:type="dxa" w:w="63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Comportement</w:t>
            </w:r>
          </w:p>
        </w:tc>
      </w:tr>
      <w:tr>
        <w:tc>
          <w:tcPr>
            <w:tcW w:type="dxa" w:w="2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Réseau présent</w:t>
            </w:r>
          </w:p>
        </w:tc>
        <w:tc>
          <w:tcPr>
            <w:tcW w:type="dxa" w:w="63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Synchronisation en temps réel avec le serveur</w:t>
            </w:r>
          </w:p>
        </w:tc>
      </w:tr>
      <w:tr>
        <w:tc>
          <w:tcPr>
            <w:tcW w:type="dxa" w:w="27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Réseau coupé</w:t>
            </w:r>
          </w:p>
        </w:tc>
        <w:tc>
          <w:tcPr>
            <w:tcW w:type="dxa" w:w="63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Ventes, stock, acomptes fonctionnent en local (IndexedDB / SQLite)</w:t>
            </w:r>
          </w:p>
        </w:tc>
      </w:tr>
      <w:tr>
        <w:tc>
          <w:tcPr>
            <w:tcW w:type="dxa" w:w="2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Réseau revenu</w:t>
            </w:r>
          </w:p>
        </w:tc>
        <w:tc>
          <w:tcPr>
            <w:tcW w:type="dxa" w:w="63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File de synchronisation vidée automatiquement vers le serveur</w:t>
            </w:r>
          </w:p>
        </w:tc>
      </w:tr>
    </w:tbl>
    <w:p>
      <w:pPr>
        <w:pBdr>
          <w:left w:val="single" w:color="F59E0B" w:sz="8" w:space="10"/>
        </w:pBdr>
        <w:shd w:fill="FEF3D9" w:val="clear"/>
        <w:spacing w:after="80" w:before="80"/>
      </w:pPr>
      <w:r>
        <w:rPr>
          <w:rFonts w:ascii="Arial" w:cs="Arial" w:eastAsia="Arial" w:hAnsi="Arial"/>
          <w:i/>
          <w:iCs/>
          <w:color w:val="12355B"/>
          <w:sz w:val="21"/>
          <w:szCs w:val="21"/>
        </w:rPr>
        <w:t xml:space="preserve">Le serveur reste la source de vérité finale, mais l'appareil sait toujours travailler seul.</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5.5 — Traçabilité des Prix Négociés</w:t>
      </w:r>
    </w:p>
    <w:p>
      <w:pPr>
        <w:spacing w:after="60" w:before="60"/>
        <w:jc w:val="left"/>
      </w:pPr>
      <w:r>
        <w:rPr>
          <w:rFonts w:ascii="Arial" w:cs="Arial" w:eastAsia="Arial" w:hAnsi="Arial"/>
          <w:b w:val="false"/>
          <w:bCs w:val="false"/>
          <w:i w:val="false"/>
          <w:iCs w:val="false"/>
          <w:color w:val="121417"/>
          <w:sz w:val="21"/>
          <w:szCs w:val="21"/>
        </w:rPr>
        <w:t xml:space="preserve">Système à 3 prix produit (catalogue/plancher/achat) + prix réel par vente, avec preuve obligatoire si la vente passe sous le prix plancher, et validation gérant requise dans ce cas.</w:t>
      </w:r>
    </w:p>
    <w:p>
      <w:pPr>
        <w:spacing w:after="0" w:before="0"/>
      </w:pPr>
      <w:r>
        <w:br w:type="page"/>
      </w:r>
    </w:p>
    <w:p>
      <w:pPr>
        <w:pStyle w:val="Heading1"/>
        <w:pBdr>
          <w:bottom w:val="single" w:color="00A86B" w:sz="4" w:space="4"/>
        </w:pBdr>
        <w:spacing w:after="180" w:before="360"/>
      </w:pPr>
      <w:r>
        <w:rPr>
          <w:rFonts w:ascii="Arial" w:cs="Arial" w:eastAsia="Arial" w:hAnsi="Arial"/>
          <w:b/>
          <w:bCs/>
          <w:caps/>
          <w:color w:val="12355B"/>
          <w:sz w:val="34"/>
          <w:szCs w:val="34"/>
        </w:rPr>
        <w:t xml:space="preserve">6. Modules — MVP2 : Le Pilotage</w:t>
      </w:r>
    </w:p>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9026"/>
      </w:tblGrid>
      <w:tr>
        <w:tc>
          <w:tcPr>
            <w:tcBorders>
              <w:top w:val="single" w:color="F59E0B" w:sz="1"/>
              <w:left w:val="single" w:color="F59E0B" w:sz="1"/>
              <w:bottom w:val="single" w:color="F59E0B" w:sz="1"/>
              <w:right w:val="single" w:color="F59E0B" w:sz="1"/>
            </w:tcBorders>
            <w:shd w:fill="F59E0B" w:val="clear"/>
            <w:tcMar>
              <w:top w:type="dxa" w:w="70"/>
              <w:left w:type="dxa" w:w="130"/>
              <w:bottom w:type="dxa" w:w="70"/>
              <w:right w:type="dxa" w:w="130"/>
            </w:tcMar>
            <w:vAlign w:val="center"/>
          </w:tcPr>
          <w:p>
            <w:pPr>
              <w:spacing w:after="10" w:before="70"/>
              <w:jc w:val="center"/>
            </w:pPr>
            <w:r>
              <w:rPr>
                <w:rFonts w:ascii="Arial" w:cs="Arial" w:eastAsia="Arial" w:hAnsi="Arial"/>
                <w:b/>
                <w:bCs/>
                <w:caps/>
                <w:color w:val="FFFFFF"/>
                <w:sz w:val="26"/>
                <w:szCs w:val="26"/>
              </w:rPr>
              <w:t xml:space="preserve">MVP2 — LE PILOTAGE</w:t>
            </w:r>
          </w:p>
          <w:p>
            <w:pPr>
              <w:spacing w:after="70" w:before="0"/>
              <w:jc w:val="center"/>
            </w:pPr>
            <w:r>
              <w:rPr>
                <w:rFonts w:ascii="Arial" w:cs="Arial" w:eastAsia="Arial" w:hAnsi="Arial"/>
                <w:i/>
                <w:iCs/>
                <w:color w:val="FFFFFF"/>
                <w:sz w:val="19"/>
                <w:szCs w:val="19"/>
              </w:rPr>
              <w:t xml:space="preserve">Organiser la boutique : crédits, fournisseurs, livraisons, fidélité</w:t>
            </w:r>
          </w:p>
        </w:tc>
      </w:tr>
    </w:tbl>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6.1 — Trésorerie (Wilinwi Pay — extension)</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700"/>
        <w:gridCol w:w="6326"/>
      </w:tblGrid>
      <w:tr>
        <w:tc>
          <w:tcPr>
            <w:tcW w:type="dxa" w:w="27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Élément</w:t>
            </w:r>
          </w:p>
        </w:tc>
        <w:tc>
          <w:tcPr>
            <w:tcW w:type="dxa" w:w="63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Détail</w:t>
            </w:r>
          </w:p>
        </w:tc>
      </w:tr>
      <w:tr>
        <w:tc>
          <w:tcPr>
            <w:tcW w:type="dxa" w:w="2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Entrées / Sorties</w:t>
            </w:r>
          </w:p>
        </w:tc>
        <w:tc>
          <w:tcPr>
            <w:tcW w:type="dxa" w:w="63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Ventes encaissées, dépenses (loyer, électricité, réappro, salaires)</w:t>
            </w:r>
          </w:p>
        </w:tc>
      </w:tr>
      <w:tr>
        <w:tc>
          <w:tcPr>
            <w:tcW w:type="dxa" w:w="27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Soldes séparés</w:t>
            </w:r>
          </w:p>
        </w:tc>
        <w:tc>
          <w:tcPr>
            <w:tcW w:type="dxa" w:w="63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Caisse (espèces) · Mobile Money · Banque</w:t>
            </w:r>
          </w:p>
        </w:tc>
      </w:tr>
      <w:tr>
        <w:tc>
          <w:tcPr>
            <w:tcW w:type="dxa" w:w="27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Clôture de caisse</w:t>
            </w:r>
          </w:p>
        </w:tc>
        <w:tc>
          <w:tcPr>
            <w:tcW w:type="dxa" w:w="63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Comptage de fin de journée, écart théorique vs réel</w:t>
            </w:r>
          </w:p>
        </w:tc>
      </w:tr>
    </w:tbl>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6.2 — Dettes Clients Avancée (Wilinwi CRM)</w:t>
      </w:r>
    </w:p>
    <w:p>
      <w:pPr>
        <w:pStyle w:val="ListParagraph"/>
        <w:numPr>
          <w:ilvl w:val="0"/>
          <w:numId w:val="2"/>
        </w:numPr>
        <w:spacing w:after="40" w:before="40"/>
      </w:pPr>
      <w:r>
        <w:rPr>
          <w:rFonts w:ascii="Arial" w:cs="Arial" w:eastAsia="Arial" w:hAnsi="Arial"/>
          <w:color w:val="121417"/>
          <w:sz w:val="21"/>
          <w:szCs w:val="21"/>
        </w:rPr>
        <w:t xml:space="preserve">Échéancier de remboursement (plusieurs échéances)</w:t>
      </w:r>
    </w:p>
    <w:p>
      <w:pPr>
        <w:pStyle w:val="ListParagraph"/>
        <w:numPr>
          <w:ilvl w:val="0"/>
          <w:numId w:val="2"/>
        </w:numPr>
        <w:spacing w:after="40" w:before="40"/>
      </w:pPr>
      <w:r>
        <w:rPr>
          <w:rFonts w:ascii="Arial" w:cs="Arial" w:eastAsia="Arial" w:hAnsi="Arial"/>
          <w:color w:val="121417"/>
          <w:sz w:val="21"/>
          <w:szCs w:val="21"/>
        </w:rPr>
        <w:t xml:space="preserve">Relances automatiques par SMS ou WhatsApp</w:t>
      </w:r>
    </w:p>
    <w:p>
      <w:pPr>
        <w:pStyle w:val="ListParagraph"/>
        <w:numPr>
          <w:ilvl w:val="0"/>
          <w:numId w:val="2"/>
        </w:numPr>
        <w:spacing w:after="40" w:before="40"/>
      </w:pPr>
      <w:r>
        <w:rPr>
          <w:rFonts w:ascii="Arial" w:cs="Arial" w:eastAsia="Arial" w:hAnsi="Arial"/>
          <w:color w:val="121417"/>
          <w:sz w:val="21"/>
          <w:szCs w:val="21"/>
        </w:rPr>
        <w:t xml:space="preserve">Historique de fiabilité par client</w:t>
      </w:r>
    </w:p>
    <w:p>
      <w:pPr>
        <w:pStyle w:val="ListParagraph"/>
        <w:numPr>
          <w:ilvl w:val="0"/>
          <w:numId w:val="2"/>
        </w:numPr>
        <w:spacing w:after="40" w:before="40"/>
      </w:pPr>
      <w:r>
        <w:rPr>
          <w:rFonts w:ascii="Arial" w:cs="Arial" w:eastAsia="Arial" w:hAnsi="Arial"/>
          <w:color w:val="121417"/>
          <w:sz w:val="21"/>
          <w:szCs w:val="21"/>
        </w:rPr>
        <w:t xml:space="preserve">Plafond de crédit configurable</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6.3 — Commandes Fournisseurs</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6626"/>
      </w:tblGrid>
      <w:tr>
        <w:tc>
          <w:tcPr>
            <w:tcW w:type="dxa" w:w="24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Étape</w:t>
            </w:r>
          </w:p>
        </w:tc>
        <w:tc>
          <w:tcPr>
            <w:tcW w:type="dxa" w:w="66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Détail</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Création du bon</w:t>
            </w:r>
          </w:p>
        </w:tc>
        <w:tc>
          <w:tcPr>
            <w:tcW w:type="dxa" w:w="6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Produits, quantités commandées, prix négocié, fournisseur</w:t>
            </w:r>
          </w:p>
        </w:tc>
      </w:tr>
      <w:tr>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Suivi</w:t>
            </w:r>
          </w:p>
        </w:tc>
        <w:tc>
          <w:tcPr>
            <w:tcW w:type="dxa" w:w="66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Quantité commandée vs réellement reçue</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Réception</w:t>
            </w:r>
          </w:p>
        </w:tc>
        <w:tc>
          <w:tcPr>
            <w:tcW w:type="dxa" w:w="6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Entrée de stock automatique, écarts signalés</w:t>
            </w:r>
          </w:p>
        </w:tc>
      </w:tr>
    </w:tbl>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6.4 — Gestion des Livraisons</w:t>
      </w:r>
    </w:p>
    <w:p>
      <w:pPr>
        <w:pStyle w:val="ListParagraph"/>
        <w:numPr>
          <w:ilvl w:val="0"/>
          <w:numId w:val="2"/>
        </w:numPr>
        <w:spacing w:after="40" w:before="40"/>
      </w:pPr>
      <w:r>
        <w:rPr>
          <w:rFonts w:ascii="Arial" w:cs="Arial" w:eastAsia="Arial" w:hAnsi="Arial"/>
          <w:color w:val="121417"/>
          <w:sz w:val="21"/>
          <w:szCs w:val="21"/>
        </w:rPr>
        <w:t xml:space="preserve">Statut : À préparer → En cours → Livrée → Échec</w:t>
      </w:r>
    </w:p>
    <w:p>
      <w:pPr>
        <w:pStyle w:val="ListParagraph"/>
        <w:numPr>
          <w:ilvl w:val="0"/>
          <w:numId w:val="2"/>
        </w:numPr>
        <w:spacing w:after="40" w:before="40"/>
      </w:pPr>
      <w:r>
        <w:rPr>
          <w:rFonts w:ascii="Arial" w:cs="Arial" w:eastAsia="Arial" w:hAnsi="Arial"/>
          <w:color w:val="121417"/>
          <w:sz w:val="21"/>
          <w:szCs w:val="21"/>
        </w:rPr>
        <w:t xml:space="preserve">Livreur assigné (interne ou prestataire)</w:t>
      </w:r>
    </w:p>
    <w:p>
      <w:pPr>
        <w:pStyle w:val="ListParagraph"/>
        <w:numPr>
          <w:ilvl w:val="0"/>
          <w:numId w:val="2"/>
        </w:numPr>
        <w:spacing w:after="40" w:before="40"/>
      </w:pPr>
      <w:r>
        <w:rPr>
          <w:rFonts w:ascii="Arial" w:cs="Arial" w:eastAsia="Arial" w:hAnsi="Arial"/>
          <w:color w:val="121417"/>
          <w:sz w:val="21"/>
          <w:szCs w:val="21"/>
        </w:rPr>
        <w:t xml:space="preserve">Frais de livraison rattachés à la vente</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6.5 — Wilinwi Market — Catalogue WhatsApp &amp; Boutique en ligne</w:t>
      </w:r>
    </w:p>
    <w:p>
      <w:pPr>
        <w:spacing w:after="60" w:before="60"/>
        <w:jc w:val="left"/>
      </w:pPr>
      <w:r>
        <w:rPr>
          <w:rFonts w:ascii="Arial" w:cs="Arial" w:eastAsia="Arial" w:hAnsi="Arial"/>
          <w:b w:val="false"/>
          <w:bCs w:val="false"/>
          <w:i w:val="false"/>
          <w:iCs w:val="false"/>
          <w:color w:val="121417"/>
          <w:sz w:val="21"/>
          <w:szCs w:val="21"/>
        </w:rPr>
        <w:t xml:space="preserve">Extension qui ouvre la boutique au monde : vitrine publique des produits, panier, formulaire de commande, redirection WhatsApp, et le même système de traçabilité des prix négociés que le POS interne.</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6.6 — Programme de Fidélité</w:t>
      </w:r>
    </w:p>
    <w:p>
      <w:pPr>
        <w:pStyle w:val="ListParagraph"/>
        <w:numPr>
          <w:ilvl w:val="0"/>
          <w:numId w:val="2"/>
        </w:numPr>
        <w:spacing w:after="40" w:before="40"/>
      </w:pPr>
      <w:r>
        <w:rPr>
          <w:rFonts w:ascii="Arial" w:cs="Arial" w:eastAsia="Arial" w:hAnsi="Arial"/>
          <w:color w:val="121417"/>
          <w:sz w:val="21"/>
          <w:szCs w:val="21"/>
        </w:rPr>
        <w:t xml:space="preserve">Points cumulés par achat, convertibles en réduction</w:t>
      </w:r>
    </w:p>
    <w:p>
      <w:pPr>
        <w:pStyle w:val="ListParagraph"/>
        <w:numPr>
          <w:ilvl w:val="0"/>
          <w:numId w:val="2"/>
        </w:numPr>
        <w:spacing w:after="40" w:before="40"/>
      </w:pPr>
      <w:r>
        <w:rPr>
          <w:rFonts w:ascii="Arial" w:cs="Arial" w:eastAsia="Arial" w:hAnsi="Arial"/>
          <w:color w:val="121417"/>
          <w:sz w:val="21"/>
          <w:szCs w:val="21"/>
        </w:rPr>
        <w:t xml:space="preserve">Paliers (Bronze / Argent / Or)</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6.7 — Rapports Avancés (Wilinwi Analytics)</w:t>
      </w:r>
    </w:p>
    <w:p>
      <w:pPr>
        <w:pStyle w:val="ListParagraph"/>
        <w:numPr>
          <w:ilvl w:val="0"/>
          <w:numId w:val="2"/>
        </w:numPr>
        <w:spacing w:after="40" w:before="40"/>
      </w:pPr>
      <w:r>
        <w:rPr>
          <w:rFonts w:ascii="Arial" w:cs="Arial" w:eastAsia="Arial" w:hAnsi="Arial"/>
          <w:color w:val="121417"/>
          <w:sz w:val="21"/>
          <w:szCs w:val="21"/>
        </w:rPr>
        <w:t xml:space="preserve">Point hebdomadaire / mensuel avec évolution</w:t>
      </w:r>
    </w:p>
    <w:p>
      <w:pPr>
        <w:pStyle w:val="ListParagraph"/>
        <w:numPr>
          <w:ilvl w:val="0"/>
          <w:numId w:val="2"/>
        </w:numPr>
        <w:spacing w:after="40" w:before="40"/>
      </w:pPr>
      <w:r>
        <w:rPr>
          <w:rFonts w:ascii="Arial" w:cs="Arial" w:eastAsia="Arial" w:hAnsi="Arial"/>
          <w:color w:val="121417"/>
          <w:sz w:val="21"/>
          <w:szCs w:val="21"/>
        </w:rPr>
        <w:t xml:space="preserve">Marge réelle vs marge théorique</w:t>
      </w:r>
    </w:p>
    <w:p>
      <w:pPr>
        <w:pStyle w:val="ListParagraph"/>
        <w:numPr>
          <w:ilvl w:val="0"/>
          <w:numId w:val="2"/>
        </w:numPr>
        <w:spacing w:after="40" w:before="40"/>
      </w:pPr>
      <w:r>
        <w:rPr>
          <w:rFonts w:ascii="Arial" w:cs="Arial" w:eastAsia="Arial" w:hAnsi="Arial"/>
          <w:color w:val="121417"/>
          <w:sz w:val="21"/>
          <w:szCs w:val="21"/>
        </w:rPr>
        <w:t xml:space="preserve">Performance par vendeur</w:t>
      </w:r>
    </w:p>
    <w:p>
      <w:pPr>
        <w:spacing w:after="0" w:before="0"/>
      </w:pPr>
      <w:r>
        <w:br w:type="page"/>
      </w:r>
    </w:p>
    <w:p>
      <w:pPr>
        <w:pStyle w:val="Heading1"/>
        <w:pBdr>
          <w:bottom w:val="single" w:color="00A86B" w:sz="4" w:space="4"/>
        </w:pBdr>
        <w:spacing w:after="180" w:before="360"/>
      </w:pPr>
      <w:r>
        <w:rPr>
          <w:rFonts w:ascii="Arial" w:cs="Arial" w:eastAsia="Arial" w:hAnsi="Arial"/>
          <w:b/>
          <w:bCs/>
          <w:caps/>
          <w:color w:val="12355B"/>
          <w:sz w:val="34"/>
          <w:szCs w:val="34"/>
        </w:rPr>
        <w:t xml:space="preserve">7. Modules — MVP3 : L'Intelligence</w:t>
      </w:r>
    </w:p>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9026"/>
      </w:tblGrid>
      <w:tr>
        <w:tc>
          <w:tcPr>
            <w:tcBorders>
              <w:top w:val="single" w:color="6B4E9C" w:sz="1"/>
              <w:left w:val="single" w:color="6B4E9C" w:sz="1"/>
              <w:bottom w:val="single" w:color="6B4E9C" w:sz="1"/>
              <w:right w:val="single" w:color="6B4E9C" w:sz="1"/>
            </w:tcBorders>
            <w:shd w:fill="6B4E9C" w:val="clear"/>
            <w:tcMar>
              <w:top w:type="dxa" w:w="70"/>
              <w:left w:type="dxa" w:w="130"/>
              <w:bottom w:type="dxa" w:w="70"/>
              <w:right w:type="dxa" w:w="130"/>
            </w:tcMar>
            <w:vAlign w:val="center"/>
          </w:tcPr>
          <w:p>
            <w:pPr>
              <w:spacing w:after="10" w:before="70"/>
              <w:jc w:val="center"/>
            </w:pPr>
            <w:r>
              <w:rPr>
                <w:rFonts w:ascii="Arial" w:cs="Arial" w:eastAsia="Arial" w:hAnsi="Arial"/>
                <w:b/>
                <w:bCs/>
                <w:caps/>
                <w:color w:val="FFFFFF"/>
                <w:sz w:val="26"/>
                <w:szCs w:val="26"/>
              </w:rPr>
              <w:t xml:space="preserve">MVP3 — L'INTELLIGENCE</w:t>
            </w:r>
          </w:p>
          <w:p>
            <w:pPr>
              <w:spacing w:after="70" w:before="0"/>
              <w:jc w:val="center"/>
            </w:pPr>
            <w:r>
              <w:rPr>
                <w:rFonts w:ascii="Arial" w:cs="Arial" w:eastAsia="Arial" w:hAnsi="Arial"/>
                <w:i/>
                <w:iCs/>
                <w:color w:val="FFFFFF"/>
                <w:sz w:val="19"/>
                <w:szCs w:val="19"/>
              </w:rPr>
              <w:t xml:space="preserve">Anticiper et grandir : multi-boutiques, mobile natif, IA</w:t>
            </w:r>
          </w:p>
        </w:tc>
      </w:tr>
    </w:tbl>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7.1 — Multi-boutiques</w:t>
      </w:r>
    </w:p>
    <w:p>
      <w:pPr>
        <w:pStyle w:val="ListParagraph"/>
        <w:numPr>
          <w:ilvl w:val="0"/>
          <w:numId w:val="2"/>
        </w:numPr>
        <w:spacing w:after="40" w:before="40"/>
      </w:pPr>
      <w:r>
        <w:rPr>
          <w:rFonts w:ascii="Arial" w:cs="Arial" w:eastAsia="Arial" w:hAnsi="Arial"/>
          <w:color w:val="121417"/>
          <w:sz w:val="21"/>
          <w:szCs w:val="21"/>
        </w:rPr>
        <w:t xml:space="preserve">Vue consolidée et vue par boutique</w:t>
      </w:r>
    </w:p>
    <w:p>
      <w:pPr>
        <w:pStyle w:val="ListParagraph"/>
        <w:numPr>
          <w:ilvl w:val="0"/>
          <w:numId w:val="2"/>
        </w:numPr>
        <w:spacing w:after="40" w:before="40"/>
      </w:pPr>
      <w:r>
        <w:rPr>
          <w:rFonts w:ascii="Arial" w:cs="Arial" w:eastAsia="Arial" w:hAnsi="Arial"/>
          <w:color w:val="121417"/>
          <w:sz w:val="21"/>
          <w:szCs w:val="21"/>
        </w:rPr>
        <w:t xml:space="preserve">Transferts de stock entre boutiques</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7.2 — Application Mobile Flutter Native</w:t>
      </w:r>
    </w:p>
    <w:p>
      <w:pPr>
        <w:spacing w:after="60" w:before="60"/>
        <w:jc w:val="left"/>
      </w:pPr>
      <w:r>
        <w:rPr>
          <w:rFonts w:ascii="Arial" w:cs="Arial" w:eastAsia="Arial" w:hAnsi="Arial"/>
          <w:b w:val="false"/>
          <w:bCs w:val="false"/>
          <w:i w:val="false"/>
          <w:iCs w:val="false"/>
          <w:color w:val="121417"/>
          <w:sz w:val="21"/>
          <w:szCs w:val="21"/>
        </w:rPr>
        <w:t xml:space="preserve">Caisse mobile dédiée, offline robuste via SQLite.</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7.3 — Wilinwi AI : Assistant Commerçant</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3600"/>
        <w:gridCol w:w="5426"/>
      </w:tblGrid>
      <w:tr>
        <w:tc>
          <w:tcPr>
            <w:tcW w:type="dxa" w:w="36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Exemple de question</w:t>
            </w:r>
          </w:p>
        </w:tc>
        <w:tc>
          <w:tcPr>
            <w:tcW w:type="dxa" w:w="54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Réponse attendue</w:t>
            </w:r>
          </w:p>
        </w:tc>
      </w:tr>
      <w:tr>
        <w:tc>
          <w:tcPr>
            <w:tcW w:type="dxa" w:w="36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 Quel produit me rapporte le plus ce mois ? »</w:t>
            </w:r>
          </w:p>
        </w:tc>
        <w:tc>
          <w:tcPr>
            <w:tcW w:type="dxa" w:w="54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Analyse des marges et volumes</w:t>
            </w:r>
          </w:p>
        </w:tc>
      </w:tr>
      <w:tr>
        <w:tc>
          <w:tcPr>
            <w:tcW w:type="dxa" w:w="36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 Quels clients me doivent de l'argent depuis 30 jours ? »</w:t>
            </w:r>
          </w:p>
        </w:tc>
        <w:tc>
          <w:tcPr>
            <w:tcW w:type="dxa" w:w="54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Liste filtrée avec montants</w:t>
            </w:r>
          </w:p>
        </w:tc>
      </w:tr>
    </w:tbl>
    <w:p>
      <w:pPr>
        <w:pBdr>
          <w:left w:val="single" w:color="6B4E9C" w:sz="8" w:space="10"/>
        </w:pBdr>
        <w:shd w:fill="EFE9F7" w:val="clear"/>
        <w:spacing w:after="80" w:before="80"/>
      </w:pPr>
      <w:r>
        <w:rPr>
          <w:rFonts w:ascii="Arial" w:cs="Arial" w:eastAsia="Arial" w:hAnsi="Arial"/>
          <w:i/>
          <w:iCs/>
          <w:color w:val="12355B"/>
          <w:sz w:val="21"/>
          <w:szCs w:val="21"/>
        </w:rPr>
        <w:t xml:space="preserve">Pré-requis : l'IA n'est utile qu'avec de la donnée réelle. Elle s'appuie sur l'historique accumulé en MVP1 et MVP2.</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7.4 — Prévisions de Stock IA</w:t>
      </w:r>
    </w:p>
    <w:p>
      <w:pPr>
        <w:pStyle w:val="ListParagraph"/>
        <w:numPr>
          <w:ilvl w:val="0"/>
          <w:numId w:val="2"/>
        </w:numPr>
        <w:spacing w:after="40" w:before="40"/>
      </w:pPr>
      <w:r>
        <w:rPr>
          <w:rFonts w:ascii="Arial" w:cs="Arial" w:eastAsia="Arial" w:hAnsi="Arial"/>
          <w:color w:val="121417"/>
          <w:sz w:val="21"/>
          <w:szCs w:val="21"/>
        </w:rPr>
        <w:t xml:space="preserve">Détection des tendances saisonnières</w:t>
      </w:r>
    </w:p>
    <w:p>
      <w:pPr>
        <w:pStyle w:val="ListParagraph"/>
        <w:numPr>
          <w:ilvl w:val="0"/>
          <w:numId w:val="2"/>
        </w:numPr>
        <w:spacing w:after="40" w:before="40"/>
      </w:pPr>
      <w:r>
        <w:rPr>
          <w:rFonts w:ascii="Arial" w:cs="Arial" w:eastAsia="Arial" w:hAnsi="Arial"/>
          <w:color w:val="121417"/>
          <w:sz w:val="21"/>
          <w:szCs w:val="21"/>
        </w:rPr>
        <w:t xml:space="preserve">Suggestion de quantité à recommander</w:t>
      </w:r>
    </w:p>
    <w:p>
      <w:pPr>
        <w:pStyle w:val="ListParagraph"/>
        <w:numPr>
          <w:ilvl w:val="0"/>
          <w:numId w:val="2"/>
        </w:numPr>
        <w:spacing w:after="40" w:before="40"/>
      </w:pPr>
      <w:r>
        <w:rPr>
          <w:rFonts w:ascii="Arial" w:cs="Arial" w:eastAsia="Arial" w:hAnsi="Arial"/>
          <w:color w:val="121417"/>
          <w:sz w:val="21"/>
          <w:szCs w:val="21"/>
        </w:rPr>
        <w:t xml:space="preserve">Alerte précoce avant rupture</w:t>
      </w:r>
    </w:p>
    <w:p>
      <w:pPr>
        <w:pBdr>
          <w:left w:val="single" w:color="6B4E9C" w:sz="8" w:space="10"/>
        </w:pBdr>
        <w:shd w:fill="EFE9F7" w:val="clear"/>
        <w:spacing w:after="80" w:before="80"/>
      </w:pPr>
      <w:r>
        <w:rPr>
          <w:rFonts w:ascii="Arial" w:cs="Arial" w:eastAsia="Arial" w:hAnsi="Arial"/>
          <w:i/>
          <w:iCs/>
          <w:color w:val="12355B"/>
          <w:sz w:val="21"/>
          <w:szCs w:val="21"/>
        </w:rPr>
        <w:t xml:space="preserve">Nécessite plusieurs mois d'historique de ventes par boutique pour être fiable.</w:t>
      </w:r>
    </w:p>
    <w:p>
      <w:pPr>
        <w:spacing w:after="0" w:before="0"/>
      </w:pPr>
      <w:r>
        <w:br w:type="page"/>
      </w:r>
    </w:p>
    <w:p>
      <w:pPr>
        <w:pStyle w:val="Heading1"/>
        <w:pBdr>
          <w:bottom w:val="single" w:color="00A86B" w:sz="4" w:space="4"/>
        </w:pBdr>
        <w:spacing w:after="180" w:before="360"/>
      </w:pPr>
      <w:r>
        <w:rPr>
          <w:rFonts w:ascii="Arial" w:cs="Arial" w:eastAsia="Arial" w:hAnsi="Arial"/>
          <w:b/>
          <w:bCs/>
          <w:caps/>
          <w:color w:val="12355B"/>
          <w:sz w:val="34"/>
          <w:szCs w:val="34"/>
        </w:rPr>
        <w:t xml:space="preserve">8. Modèle Économique</w:t>
      </w:r>
    </w:p>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600"/>
        <w:gridCol w:w="2400"/>
        <w:gridCol w:w="3826"/>
        <w:gridCol w:w="1200"/>
      </w:tblGrid>
      <w:tr>
        <w:tc>
          <w:tcPr>
            <w:tcW w:type="dxa" w:w="16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Plan</w:t>
            </w:r>
          </w:p>
        </w:tc>
        <w:tc>
          <w:tcPr>
            <w:tcW w:type="dxa" w:w="24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Cible</w:t>
            </w:r>
          </w:p>
        </w:tc>
        <w:tc>
          <w:tcPr>
            <w:tcW w:type="dxa" w:w="38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Inclus (paliers cumulés)</w:t>
            </w:r>
          </w:p>
        </w:tc>
        <w:tc>
          <w:tcPr>
            <w:tcW w:type="dxa" w:w="12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Prix/mois</w:t>
            </w:r>
          </w:p>
        </w:tc>
      </w:tr>
      <w:tr>
        <w:tc>
          <w:tcPr>
            <w:tcW w:type="dxa" w:w="16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Gratuit</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Petit vendeur qui teste</w:t>
            </w:r>
          </w:p>
        </w:tc>
        <w:tc>
          <w:tcPr>
            <w:tcW w:type="dxa" w:w="38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MVP1 limité : 1 boutique, ~50 produits, 1 utilisateur</w:t>
            </w:r>
          </w:p>
        </w:tc>
        <w:tc>
          <w:tcPr>
            <w:tcW w:type="dxa" w:w="12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0 FCFA</w:t>
            </w:r>
          </w:p>
        </w:tc>
      </w:tr>
      <w:tr>
        <w:tc>
          <w:tcPr>
            <w:tcW w:type="dxa" w:w="16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Pro</w:t>
            </w:r>
          </w:p>
        </w:tc>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Boutique établie</w:t>
            </w:r>
          </w:p>
        </w:tc>
        <w:tc>
          <w:tcPr>
            <w:tcW w:type="dxa" w:w="38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MVP1 complet + MVP2 : crédits, livraisons, fidélité, Market</w:t>
            </w:r>
          </w:p>
        </w:tc>
        <w:tc>
          <w:tcPr>
            <w:tcW w:type="dxa" w:w="12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5 000 FCFA</w:t>
            </w:r>
          </w:p>
        </w:tc>
      </w:tr>
      <w:tr>
        <w:tc>
          <w:tcPr>
            <w:tcW w:type="dxa" w:w="16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Business</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Plusieurs boutiques</w:t>
            </w:r>
          </w:p>
        </w:tc>
        <w:tc>
          <w:tcPr>
            <w:tcW w:type="dxa" w:w="38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MVP1+2 + MVP3 : multi-boutiques, mobile natif, AI</w:t>
            </w:r>
          </w:p>
        </w:tc>
        <w:tc>
          <w:tcPr>
            <w:tcW w:type="dxa" w:w="12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15 000 FCFA</w:t>
            </w:r>
          </w:p>
        </w:tc>
      </w:tr>
    </w:tbl>
    <w:p>
      <w:pPr>
        <w:spacing w:after="60" w:before="60"/>
        <w:jc w:val="left"/>
      </w:pPr>
      <w:r>
        <w:rPr>
          <w:rFonts w:ascii="Arial" w:cs="Arial" w:eastAsia="Arial" w:hAnsi="Arial"/>
          <w:b w:val="false"/>
          <w:bCs w:val="false"/>
          <w:i w:val="false"/>
          <w:iCs w:val="false"/>
          <w:color w:val="121417"/>
          <w:sz w:val="21"/>
          <w:szCs w:val="21"/>
        </w:rPr>
        <w:t xml:space="preserve"/>
      </w:r>
    </w:p>
    <w:p>
      <w:pPr>
        <w:pBdr>
          <w:left w:val="single" w:color="F59E0B" w:sz="8" w:space="10"/>
        </w:pBdr>
        <w:shd w:fill="FEF3D9" w:val="clear"/>
        <w:spacing w:after="80" w:before="80"/>
      </w:pPr>
      <w:r>
        <w:rPr>
          <w:rFonts w:ascii="Arial" w:cs="Arial" w:eastAsia="Arial" w:hAnsi="Arial"/>
          <w:i/>
          <w:iCs/>
          <w:color w:val="12355B"/>
          <w:sz w:val="21"/>
          <w:szCs w:val="21"/>
        </w:rPr>
        <w:t xml:space="preserve">Wilinwi Market et Wilinwi AI deviennent des arguments naturels des plans Pro et Business — sans complexifier le plan Gratuit.</w:t>
      </w:r>
    </w:p>
    <w:p>
      <w:pPr>
        <w:spacing w:after="0" w:before="0"/>
      </w:pPr>
      <w:r>
        <w:br w:type="page"/>
      </w:r>
    </w:p>
    <w:p>
      <w:pPr>
        <w:pStyle w:val="Heading1"/>
        <w:pBdr>
          <w:bottom w:val="single" w:color="00A86B" w:sz="4" w:space="4"/>
        </w:pBdr>
        <w:spacing w:after="180" w:before="360"/>
      </w:pPr>
      <w:r>
        <w:rPr>
          <w:rFonts w:ascii="Arial" w:cs="Arial" w:eastAsia="Arial" w:hAnsi="Arial"/>
          <w:b/>
          <w:bCs/>
          <w:caps/>
          <w:color w:val="12355B"/>
          <w:sz w:val="34"/>
          <w:szCs w:val="34"/>
        </w:rPr>
        <w:t xml:space="preserve">9. Modèle de Données (Vue d'Ensemble)</w:t>
      </w:r>
    </w:p>
    <w:p>
      <w:pPr>
        <w:spacing w:after="60" w:before="60"/>
        <w:jc w:val="left"/>
      </w:pPr>
      <w:r>
        <w:rPr>
          <w:rFonts w:ascii="Arial" w:cs="Arial" w:eastAsia="Arial" w:hAnsi="Arial"/>
          <w:b w:val="false"/>
          <w:bCs w:val="false"/>
          <w:i w:val="false"/>
          <w:iCs w:val="false"/>
          <w:color w:val="121417"/>
          <w:sz w:val="21"/>
          <w:szCs w:val="21"/>
        </w:rPr>
        <w:t xml:space="preserve"/>
      </w:r>
    </w:p>
    <w:p>
      <w:pPr>
        <w:spacing w:after="60" w:before="60"/>
        <w:jc w:val="left"/>
      </w:pPr>
      <w:r>
        <w:rPr>
          <w:rFonts w:ascii="Arial" w:cs="Arial" w:eastAsia="Arial" w:hAnsi="Arial"/>
          <w:b w:val="false"/>
          <w:bCs w:val="false"/>
          <w:i w:val="false"/>
          <w:iCs w:val="false"/>
          <w:color w:val="121417"/>
          <w:sz w:val="21"/>
          <w:szCs w:val="21"/>
        </w:rPr>
        <w:t xml:space="preserve">Toutes les tables (sauf tenants) portent un tenant_id et sont protégées par RLS.</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9.1 — Tables MVP1</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6626"/>
      </w:tblGrid>
      <w:tr>
        <w:tc>
          <w:tcPr>
            <w:tcW w:type="dxa" w:w="24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Table</w:t>
            </w:r>
          </w:p>
        </w:tc>
        <w:tc>
          <w:tcPr>
            <w:tcW w:type="dxa" w:w="66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Champs clés</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tenants</w:t>
            </w:r>
          </w:p>
        </w:tc>
        <w:tc>
          <w:tcPr>
            <w:tcW w:type="dxa" w:w="6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id, nom, plan, statut_abonnement</w:t>
            </w:r>
          </w:p>
        </w:tc>
      </w:tr>
      <w:tr>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users</w:t>
            </w:r>
          </w:p>
        </w:tc>
        <w:tc>
          <w:tcPr>
            <w:tcW w:type="dxa" w:w="66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id, tenant_id, nom, rôle, email</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products</w:t>
            </w:r>
          </w:p>
        </w:tc>
        <w:tc>
          <w:tcPr>
            <w:tcW w:type="dxa" w:w="6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id, tenant_id, nom, sku, prix_achat, prix_catalogue, prix_plancher, stock</w:t>
            </w:r>
          </w:p>
        </w:tc>
      </w:tr>
      <w:tr>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stock_movements</w:t>
            </w:r>
          </w:p>
        </w:tc>
        <w:tc>
          <w:tcPr>
            <w:tcW w:type="dxa" w:w="66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id, product_id, type, quantité, motif, date</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stock_counts / stock_count_items</w:t>
            </w:r>
          </w:p>
        </w:tc>
        <w:tc>
          <w:tcPr>
            <w:tcW w:type="dxa" w:w="6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comptage d'inventaire, écarts</w:t>
            </w:r>
          </w:p>
        </w:tc>
      </w:tr>
      <w:tr>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sales / sale_items</w:t>
            </w:r>
          </w:p>
        </w:tc>
        <w:tc>
          <w:tcPr>
            <w:tcW w:type="dxa" w:w="66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ventes et lignes de vente, prix réel</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sale_installments</w:t>
            </w:r>
          </w:p>
        </w:tc>
        <w:tc>
          <w:tcPr>
            <w:tcW w:type="dxa" w:w="6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acomptes : montant, date, statut</w:t>
            </w:r>
          </w:p>
        </w:tc>
      </w:tr>
    </w:tbl>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9.2 — Tables MVP2</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6626"/>
      </w:tblGrid>
      <w:tr>
        <w:tc>
          <w:tcPr>
            <w:tcW w:type="dxa" w:w="24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Table</w:t>
            </w:r>
          </w:p>
        </w:tc>
        <w:tc>
          <w:tcPr>
            <w:tcW w:type="dxa" w:w="66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Champs clés</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clients</w:t>
            </w:r>
          </w:p>
        </w:tc>
        <w:tc>
          <w:tcPr>
            <w:tcW w:type="dxa" w:w="6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id, tenant_id, nom, téléphone, solde_credit, plafond_credit</w:t>
            </w:r>
          </w:p>
        </w:tc>
      </w:tr>
      <w:tr>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client_payment_schedule</w:t>
            </w:r>
          </w:p>
        </w:tc>
        <w:tc>
          <w:tcPr>
            <w:tcW w:type="dxa" w:w="66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échéancier de remboursement</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purchase_orders / purchase_order_items</w:t>
            </w:r>
          </w:p>
        </w:tc>
        <w:tc>
          <w:tcPr>
            <w:tcW w:type="dxa" w:w="6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bons de commande fournisseurs</w:t>
            </w:r>
          </w:p>
        </w:tc>
      </w:tr>
      <w:tr>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deliveries</w:t>
            </w:r>
          </w:p>
        </w:tc>
        <w:tc>
          <w:tcPr>
            <w:tcW w:type="dxa" w:w="66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id, sale_id, livreur_id, statut, frais</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loyalty_points</w:t>
            </w:r>
          </w:p>
        </w:tc>
        <w:tc>
          <w:tcPr>
            <w:tcW w:type="dxa" w:w="6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id, client_id, points, palier</w:t>
            </w:r>
          </w:p>
        </w:tc>
      </w:tr>
      <w:tr>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market_listings</w:t>
            </w:r>
          </w:p>
        </w:tc>
        <w:tc>
          <w:tcPr>
            <w:tcW w:type="dxa" w:w="66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id, tenant_id, product_id — Wilinwi Market, vitrine publique</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subscriptions</w:t>
            </w:r>
          </w:p>
        </w:tc>
        <w:tc>
          <w:tcPr>
            <w:tcW w:type="dxa" w:w="6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id, tenant_id, plan, montant, statut, fedapay_ref</w:t>
            </w:r>
          </w:p>
        </w:tc>
      </w:tr>
    </w:tbl>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9.3 — Tables MVP3</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400"/>
        <w:gridCol w:w="6626"/>
      </w:tblGrid>
      <w:tr>
        <w:tc>
          <w:tcPr>
            <w:tcW w:type="dxa" w:w="24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Table</w:t>
            </w:r>
          </w:p>
        </w:tc>
        <w:tc>
          <w:tcPr>
            <w:tcW w:type="dxa" w:w="66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Champs clés</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stores / stock_transfers</w:t>
            </w:r>
          </w:p>
        </w:tc>
        <w:tc>
          <w:tcPr>
            <w:tcW w:type="dxa" w:w="6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multi-boutiques</w:t>
            </w:r>
          </w:p>
        </w:tc>
      </w:tr>
      <w:tr>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ai_insights</w:t>
            </w:r>
          </w:p>
        </w:tc>
        <w:tc>
          <w:tcPr>
            <w:tcW w:type="dxa" w:w="66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réponses de l'assistant Wilinwi AI</w:t>
            </w:r>
          </w:p>
        </w:tc>
      </w:tr>
      <w:tr>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stock_forecasts</w:t>
            </w:r>
          </w:p>
        </w:tc>
        <w:tc>
          <w:tcPr>
            <w:tcW w:type="dxa" w:w="66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prévisions de réapprovisionnement</w:t>
            </w:r>
          </w:p>
        </w:tc>
      </w:tr>
    </w:tbl>
    <w:p>
      <w:pPr>
        <w:spacing w:after="60" w:before="60"/>
        <w:jc w:val="left"/>
      </w:pPr>
      <w:r>
        <w:rPr>
          <w:rFonts w:ascii="Arial" w:cs="Arial" w:eastAsia="Arial" w:hAnsi="Arial"/>
          <w:b w:val="false"/>
          <w:bCs w:val="false"/>
          <w:i w:val="false"/>
          <w:iCs w:val="false"/>
          <w:color w:val="121417"/>
          <w:sz w:val="21"/>
          <w:szCs w:val="21"/>
        </w:rPr>
        <w:t xml:space="preserve"/>
      </w:r>
    </w:p>
    <w:p>
      <w:pPr>
        <w:pBdr>
          <w:left w:val="single" w:color="F59E0B" w:sz="8" w:space="10"/>
        </w:pBdr>
        <w:shd w:fill="FEF3D9" w:val="clear"/>
        <w:spacing w:after="80" w:before="80"/>
      </w:pPr>
      <w:r>
        <w:rPr>
          <w:rFonts w:ascii="Arial" w:cs="Arial" w:eastAsia="Arial" w:hAnsi="Arial"/>
          <w:i/>
          <w:iCs/>
          <w:color w:val="12355B"/>
          <w:sz w:val="21"/>
          <w:szCs w:val="21"/>
        </w:rPr>
        <w:t xml:space="preserve">Les champs prix_plancher, prix_achat, plafond_credit et dette ne sont jamais retournés aux rôles non autorisés.</w:t>
      </w:r>
    </w:p>
    <w:p>
      <w:pPr>
        <w:spacing w:after="0" w:before="0"/>
      </w:pPr>
      <w:r>
        <w:br w:type="page"/>
      </w:r>
    </w:p>
    <w:p>
      <w:pPr>
        <w:pStyle w:val="Heading1"/>
        <w:pBdr>
          <w:bottom w:val="single" w:color="00A86B" w:sz="4" w:space="4"/>
        </w:pBdr>
        <w:spacing w:after="180" w:before="360"/>
      </w:pPr>
      <w:r>
        <w:rPr>
          <w:rFonts w:ascii="Arial" w:cs="Arial" w:eastAsia="Arial" w:hAnsi="Arial"/>
          <w:b/>
          <w:bCs/>
          <w:caps/>
          <w:color w:val="12355B"/>
          <w:sz w:val="34"/>
          <w:szCs w:val="34"/>
        </w:rPr>
        <w:t xml:space="preserve">10. Stack Technique</w:t>
      </w:r>
    </w:p>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2200"/>
        <w:gridCol w:w="4100"/>
        <w:gridCol w:w="2726"/>
      </w:tblGrid>
      <w:tr>
        <w:tc>
          <w:tcPr>
            <w:tcW w:type="dxa" w:w="22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Couche</w:t>
            </w:r>
          </w:p>
        </w:tc>
        <w:tc>
          <w:tcPr>
            <w:tcW w:type="dxa" w:w="41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Technologie</w:t>
            </w:r>
          </w:p>
        </w:tc>
        <w:tc>
          <w:tcPr>
            <w:tcW w:type="dxa" w:w="27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Suite concernée</w:t>
            </w:r>
          </w:p>
        </w:tc>
      </w:tr>
      <w:tr>
        <w:tc>
          <w:tcPr>
            <w:tcW w:type="dxa" w:w="22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Hub central</w:t>
            </w:r>
          </w:p>
        </w:tc>
        <w:tc>
          <w:tcPr>
            <w:tcW w:type="dxa" w:w="41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Next.js — portail SSO, gros boutons, gating premium</w:t>
            </w:r>
          </w:p>
        </w:tc>
        <w:tc>
          <w:tcPr>
            <w:tcW w:type="dxa" w:w="27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Le 8ᵉ site</w:t>
            </w:r>
          </w:p>
        </w:tc>
      </w:tr>
      <w:tr>
        <w:tc>
          <w:tcPr>
            <w:tcW w:type="dxa" w:w="22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Authentification (SSO)</w:t>
            </w:r>
          </w:p>
        </w:tc>
        <w:tc>
          <w:tcPr>
            <w:tcW w:type="dxa" w:w="41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Compte unique (JWT + session partagée entre modules)</w:t>
            </w:r>
          </w:p>
        </w:tc>
        <w:tc>
          <w:tcPr>
            <w:tcW w:type="dxa" w:w="27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Hub → toutes</w:t>
            </w:r>
          </w:p>
        </w:tc>
      </w:tr>
      <w:tr>
        <w:tc>
          <w:tcPr>
            <w:tcW w:type="dxa" w:w="22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Web modules</w:t>
            </w:r>
          </w:p>
        </w:tc>
        <w:tc>
          <w:tcPr>
            <w:tcW w:type="dxa" w:w="41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Next.js + Tailwind CSS (sous-domaines ou sections)</w:t>
            </w:r>
          </w:p>
        </w:tc>
        <w:tc>
          <w:tcPr>
            <w:tcW w:type="dxa" w:w="27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Toutes</w:t>
            </w:r>
          </w:p>
        </w:tc>
      </w:tr>
      <w:tr>
        <w:tc>
          <w:tcPr>
            <w:tcW w:type="dxa" w:w="22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Backend</w:t>
            </w:r>
          </w:p>
        </w:tc>
        <w:tc>
          <w:tcPr>
            <w:tcW w:type="dxa" w:w="41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UN seul backend modulaire (FastAPI ou NestJS)</w:t>
            </w:r>
          </w:p>
        </w:tc>
        <w:tc>
          <w:tcPr>
            <w:tcW w:type="dxa" w:w="27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Toutes</w:t>
            </w:r>
          </w:p>
        </w:tc>
      </w:tr>
      <w:tr>
        <w:tc>
          <w:tcPr>
            <w:tcW w:type="dxa" w:w="22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Base de données</w:t>
            </w:r>
          </w:p>
        </w:tc>
        <w:tc>
          <w:tcPr>
            <w:tcW w:type="dxa" w:w="41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UNE seule base PostgreSQL via Supabase (RLS)</w:t>
            </w:r>
          </w:p>
        </w:tc>
        <w:tc>
          <w:tcPr>
            <w:tcW w:type="dxa" w:w="27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Toutes</w:t>
            </w:r>
          </w:p>
        </w:tc>
      </w:tr>
      <w:tr>
        <w:tc>
          <w:tcPr>
            <w:tcW w:type="dxa" w:w="22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Offline web</w:t>
            </w:r>
          </w:p>
        </w:tc>
        <w:tc>
          <w:tcPr>
            <w:tcW w:type="dxa" w:w="41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IndexedDB + file de synchronisation</w:t>
            </w:r>
          </w:p>
        </w:tc>
        <w:tc>
          <w:tcPr>
            <w:tcW w:type="dxa" w:w="27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POS / Stock</w:t>
            </w:r>
          </w:p>
        </w:tc>
      </w:tr>
      <w:tr>
        <w:tc>
          <w:tcPr>
            <w:tcW w:type="dxa" w:w="22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Paiement</w:t>
            </w:r>
          </w:p>
        </w:tc>
        <w:tc>
          <w:tcPr>
            <w:tcW w:type="dxa" w:w="41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FedaPay (Mobile Money, carte)</w:t>
            </w:r>
          </w:p>
        </w:tc>
        <w:tc>
          <w:tcPr>
            <w:tcW w:type="dxa" w:w="27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Pay</w:t>
            </w:r>
          </w:p>
        </w:tc>
      </w:tr>
      <w:tr>
        <w:tc>
          <w:tcPr>
            <w:tcW w:type="dxa" w:w="22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Catalogue public</w:t>
            </w:r>
          </w:p>
        </w:tc>
        <w:tc>
          <w:tcPr>
            <w:tcW w:type="dxa" w:w="41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Pages Next.js + lien wa.me</w:t>
            </w:r>
          </w:p>
        </w:tc>
        <w:tc>
          <w:tcPr>
            <w:tcW w:type="dxa" w:w="27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Market</w:t>
            </w:r>
          </w:p>
        </w:tc>
      </w:tr>
      <w:tr>
        <w:tc>
          <w:tcPr>
            <w:tcW w:type="dxa" w:w="22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Notifications</w:t>
            </w:r>
          </w:p>
        </w:tc>
        <w:tc>
          <w:tcPr>
            <w:tcW w:type="dxa" w:w="41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SMS / WhatsApp Business API</w:t>
            </w:r>
          </w:p>
        </w:tc>
        <w:tc>
          <w:tcPr>
            <w:tcW w:type="dxa" w:w="27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CRM</w:t>
            </w:r>
          </w:p>
        </w:tc>
      </w:tr>
      <w:tr>
        <w:tc>
          <w:tcPr>
            <w:tcW w:type="dxa" w:w="22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Mobile natif</w:t>
            </w:r>
          </w:p>
        </w:tc>
        <w:tc>
          <w:tcPr>
            <w:tcW w:type="dxa" w:w="41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Flutter + SQLite</w:t>
            </w:r>
          </w:p>
        </w:tc>
        <w:tc>
          <w:tcPr>
            <w:tcW w:type="dxa" w:w="27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POS (MVP3)</w:t>
            </w:r>
          </w:p>
        </w:tc>
      </w:tr>
      <w:tr>
        <w:tc>
          <w:tcPr>
            <w:tcW w:type="dxa" w:w="22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IA / Machine Learning</w:t>
            </w:r>
          </w:p>
        </w:tc>
        <w:tc>
          <w:tcPr>
            <w:tcW w:type="dxa" w:w="41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Service séparé : séries temporelles + LLM</w:t>
            </w:r>
          </w:p>
        </w:tc>
        <w:tc>
          <w:tcPr>
            <w:tcW w:type="dxa" w:w="27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AI</w:t>
            </w:r>
          </w:p>
        </w:tc>
      </w:tr>
      <w:tr>
        <w:tc>
          <w:tcPr>
            <w:tcW w:type="dxa" w:w="22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Sécurité</w:t>
            </w:r>
          </w:p>
        </w:tc>
        <w:tc>
          <w:tcPr>
            <w:tcW w:type="dxa" w:w="41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JWT, RLS, HMAC webhooks, DOMPurify, Zod</w:t>
            </w:r>
          </w:p>
        </w:tc>
        <w:tc>
          <w:tcPr>
            <w:tcW w:type="dxa" w:w="27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Toutes</w:t>
            </w:r>
          </w:p>
        </w:tc>
      </w:tr>
    </w:tbl>
    <w:p>
      <w:pPr>
        <w:spacing w:after="0" w:before="0"/>
      </w:pPr>
      <w:r>
        <w:br w:type="page"/>
      </w:r>
    </w:p>
    <w:p>
      <w:pPr>
        <w:pStyle w:val="Heading1"/>
        <w:pBdr>
          <w:bottom w:val="single" w:color="00A86B" w:sz="4" w:space="4"/>
        </w:pBdr>
        <w:spacing w:after="180" w:before="360"/>
      </w:pPr>
      <w:r>
        <w:rPr>
          <w:rFonts w:ascii="Arial" w:cs="Arial" w:eastAsia="Arial" w:hAnsi="Arial"/>
          <w:b/>
          <w:bCs/>
          <w:caps/>
          <w:color w:val="12355B"/>
          <w:sz w:val="34"/>
          <w:szCs w:val="34"/>
        </w:rPr>
        <w:t xml:space="preserve">11. Principes UX &amp; Charte Graphique</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11.1 — Principes</w:t>
      </w:r>
    </w:p>
    <w:p>
      <w:pPr>
        <w:pStyle w:val="ListParagraph"/>
        <w:numPr>
          <w:ilvl w:val="0"/>
          <w:numId w:val="2"/>
        </w:numPr>
        <w:spacing w:after="40" w:before="40"/>
      </w:pPr>
      <w:r>
        <w:rPr>
          <w:rFonts w:ascii="Arial" w:cs="Arial" w:eastAsia="Arial" w:hAnsi="Arial"/>
          <w:color w:val="121417"/>
          <w:sz w:val="21"/>
          <w:szCs w:val="21"/>
        </w:rPr>
        <w:t xml:space="preserve">Mobile-first, chaque écran compréhensible en moins de 30 secondes</w:t>
      </w:r>
    </w:p>
    <w:p>
      <w:pPr>
        <w:pStyle w:val="ListParagraph"/>
        <w:numPr>
          <w:ilvl w:val="0"/>
          <w:numId w:val="2"/>
        </w:numPr>
        <w:spacing w:after="40" w:before="40"/>
      </w:pPr>
      <w:r>
        <w:rPr>
          <w:rFonts w:ascii="Arial" w:cs="Arial" w:eastAsia="Arial" w:hAnsi="Arial"/>
          <w:color w:val="121417"/>
          <w:sz w:val="21"/>
          <w:szCs w:val="21"/>
        </w:rPr>
        <w:t xml:space="preserve">Le point de vente atteignable en 1-2 taps depuis n'importe où</w:t>
      </w:r>
    </w:p>
    <w:p>
      <w:pPr>
        <w:pStyle w:val="ListParagraph"/>
        <w:numPr>
          <w:ilvl w:val="0"/>
          <w:numId w:val="2"/>
        </w:numPr>
        <w:spacing w:after="40" w:before="40"/>
      </w:pPr>
      <w:r>
        <w:rPr>
          <w:rFonts w:ascii="Arial" w:cs="Arial" w:eastAsia="Arial" w:hAnsi="Arial"/>
          <w:color w:val="121417"/>
          <w:sz w:val="21"/>
          <w:szCs w:val="21"/>
        </w:rPr>
        <w:t xml:space="preserve">Indicateurs visuels clairs pour l'état hors-ligne / synchronisation</w:t>
      </w:r>
    </w:p>
    <w:p>
      <w:pPr>
        <w:spacing w:after="60" w:before="60"/>
        <w:jc w:val="left"/>
      </w:pPr>
      <w:r>
        <w:rPr>
          <w:rFonts w:ascii="Arial" w:cs="Arial" w:eastAsia="Arial" w:hAnsi="Arial"/>
          <w:b w:val="false"/>
          <w:bCs w:val="false"/>
          <w:i w:val="false"/>
          <w:iCs w:val="false"/>
          <w:color w:val="121417"/>
          <w:sz w:val="21"/>
          <w:szCs w:val="21"/>
        </w:rPr>
        <w:t xml:space="preserve"/>
      </w:r>
    </w:p>
    <w:p>
      <w:pPr>
        <w:pStyle w:val="Heading2"/>
        <w:spacing w:after="120" w:before="260"/>
      </w:pPr>
      <w:r>
        <w:rPr>
          <w:rFonts w:ascii="Arial" w:cs="Arial" w:eastAsia="Arial" w:hAnsi="Arial"/>
          <w:b/>
          <w:bCs/>
          <w:color w:val="00A86B"/>
          <w:sz w:val="25"/>
          <w:szCs w:val="25"/>
        </w:rPr>
        <w:t xml:space="preserve">11.2 — Palette officielle Wilinwi</w:t>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800"/>
        <w:gridCol w:w="7226"/>
      </w:tblGrid>
      <w:tr>
        <w:tc>
          <w:tcPr>
            <w:tcW w:type="dxa" w:w="18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r>
              <w:rPr>
                <w:sz w:val="1"/>
                <w:szCs w:val="1"/>
              </w:rPr>
              <w:t xml:space="preserve">  </w:t>
            </w:r>
          </w:p>
        </w:tc>
        <w:tc>
          <w:tcPr>
            <w:tcW w:type="dxa" w:w="72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20" w:before="40"/>
            </w:pPr>
            <w:r>
              <w:rPr>
                <w:rFonts w:ascii="Arial" w:cs="Arial" w:eastAsia="Arial" w:hAnsi="Arial"/>
                <w:b/>
                <w:bCs/>
                <w:color w:val="121417"/>
                <w:sz w:val="21"/>
                <w:szCs w:val="21"/>
              </w:rPr>
              <w:t xml:space="preserve">Principale  </w:t>
            </w:r>
            <w:r>
              <w:rPr>
                <w:rFonts w:ascii="Courier New" w:cs="Courier New" w:eastAsia="Courier New" w:hAnsi="Courier New"/>
                <w:color w:val="5A6573"/>
                <w:sz w:val="19"/>
                <w:szCs w:val="19"/>
              </w:rPr>
              <w:t xml:space="preserve">#12355B</w:t>
            </w:r>
          </w:p>
          <w:p>
            <w:pPr>
              <w:spacing w:after="40" w:before="0"/>
            </w:pPr>
            <w:r>
              <w:rPr>
                <w:rFonts w:ascii="Arial" w:cs="Arial" w:eastAsia="Arial" w:hAnsi="Arial"/>
                <w:i/>
                <w:iCs/>
                <w:color w:val="5A6573"/>
                <w:sz w:val="19"/>
                <w:szCs w:val="19"/>
              </w:rPr>
              <w:t xml:space="preserve">Bleu profond — confiance, technologie, stabilité</w:t>
            </w:r>
          </w:p>
        </w:tc>
      </w:tr>
    </w:tbl>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800"/>
        <w:gridCol w:w="7226"/>
      </w:tblGrid>
      <w:tr>
        <w:tc>
          <w:tcPr>
            <w:tcW w:type="dxa" w:w="1800"/>
            <w:tcBorders>
              <w:top w:val="single" w:color="00A86B" w:sz="1"/>
              <w:left w:val="single" w:color="00A86B" w:sz="1"/>
              <w:bottom w:val="single" w:color="00A86B" w:sz="1"/>
              <w:right w:val="single" w:color="00A86B" w:sz="1"/>
            </w:tcBorders>
            <w:shd w:fill="00A86B" w:val="clear"/>
            <w:tcMar>
              <w:top w:type="dxa" w:w="70"/>
              <w:left w:type="dxa" w:w="130"/>
              <w:bottom w:type="dxa" w:w="70"/>
              <w:right w:type="dxa" w:w="130"/>
            </w:tcMar>
            <w:vAlign w:val="center"/>
          </w:tcPr>
          <w:p>
            <w:r>
              <w:rPr>
                <w:sz w:val="1"/>
                <w:szCs w:val="1"/>
              </w:rPr>
              <w:t xml:space="preserve">  </w:t>
            </w:r>
          </w:p>
        </w:tc>
        <w:tc>
          <w:tcPr>
            <w:tcW w:type="dxa" w:w="72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20" w:before="40"/>
            </w:pPr>
            <w:r>
              <w:rPr>
                <w:rFonts w:ascii="Arial" w:cs="Arial" w:eastAsia="Arial" w:hAnsi="Arial"/>
                <w:b/>
                <w:bCs/>
                <w:color w:val="121417"/>
                <w:sz w:val="21"/>
                <w:szCs w:val="21"/>
              </w:rPr>
              <w:t xml:space="preserve">Secondaire  </w:t>
            </w:r>
            <w:r>
              <w:rPr>
                <w:rFonts w:ascii="Courier New" w:cs="Courier New" w:eastAsia="Courier New" w:hAnsi="Courier New"/>
                <w:color w:val="5A6573"/>
                <w:sz w:val="19"/>
                <w:szCs w:val="19"/>
              </w:rPr>
              <w:t xml:space="preserve">#00A86B</w:t>
            </w:r>
          </w:p>
          <w:p>
            <w:pPr>
              <w:spacing w:after="40" w:before="0"/>
            </w:pPr>
            <w:r>
              <w:rPr>
                <w:rFonts w:ascii="Arial" w:cs="Arial" w:eastAsia="Arial" w:hAnsi="Arial"/>
                <w:i/>
                <w:iCs/>
                <w:color w:val="5A6573"/>
                <w:sz w:val="19"/>
                <w:szCs w:val="19"/>
              </w:rPr>
              <w:t xml:space="preserve">Vert émeraude — croissance, argent, réussite</w:t>
            </w:r>
          </w:p>
        </w:tc>
      </w:tr>
    </w:tbl>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1800"/>
        <w:gridCol w:w="7226"/>
      </w:tblGrid>
      <w:tr>
        <w:tc>
          <w:tcPr>
            <w:tcW w:type="dxa" w:w="1800"/>
            <w:tcBorders>
              <w:top w:val="single" w:color="F59E0B" w:sz="1"/>
              <w:left w:val="single" w:color="F59E0B" w:sz="1"/>
              <w:bottom w:val="single" w:color="F59E0B" w:sz="1"/>
              <w:right w:val="single" w:color="F59E0B" w:sz="1"/>
            </w:tcBorders>
            <w:shd w:fill="F59E0B" w:val="clear"/>
            <w:tcMar>
              <w:top w:type="dxa" w:w="70"/>
              <w:left w:type="dxa" w:w="130"/>
              <w:bottom w:type="dxa" w:w="70"/>
              <w:right w:type="dxa" w:w="130"/>
            </w:tcMar>
            <w:vAlign w:val="center"/>
          </w:tcPr>
          <w:p>
            <w:r>
              <w:rPr>
                <w:sz w:val="1"/>
                <w:szCs w:val="1"/>
              </w:rPr>
              <w:t xml:space="preserve">  </w:t>
            </w:r>
          </w:p>
        </w:tc>
        <w:tc>
          <w:tcPr>
            <w:tcW w:type="dxa" w:w="72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20" w:before="40"/>
            </w:pPr>
            <w:r>
              <w:rPr>
                <w:rFonts w:ascii="Arial" w:cs="Arial" w:eastAsia="Arial" w:hAnsi="Arial"/>
                <w:b/>
                <w:bCs/>
                <w:color w:val="121417"/>
                <w:sz w:val="21"/>
                <w:szCs w:val="21"/>
              </w:rPr>
              <w:t xml:space="preserve">Accent  </w:t>
            </w:r>
            <w:r>
              <w:rPr>
                <w:rFonts w:ascii="Courier New" w:cs="Courier New" w:eastAsia="Courier New" w:hAnsi="Courier New"/>
                <w:color w:val="5A6573"/>
                <w:sz w:val="19"/>
                <w:szCs w:val="19"/>
              </w:rPr>
              <w:t xml:space="preserve">#F59E0B</w:t>
            </w:r>
          </w:p>
          <w:p>
            <w:pPr>
              <w:spacing w:after="40" w:before="0"/>
            </w:pPr>
            <w:r>
              <w:rPr>
                <w:rFonts w:ascii="Arial" w:cs="Arial" w:eastAsia="Arial" w:hAnsi="Arial"/>
                <w:i/>
                <w:iCs/>
                <w:color w:val="5A6573"/>
                <w:sz w:val="19"/>
                <w:szCs w:val="19"/>
              </w:rPr>
              <w:t xml:space="preserve">Orange doré — commerce, énergie, Afrique</w:t>
            </w:r>
          </w:p>
        </w:tc>
      </w:tr>
    </w:tbl>
    <w:p>
      <w:pPr>
        <w:spacing w:after="60" w:before="60"/>
        <w:jc w:val="left"/>
      </w:pPr>
      <w:r>
        <w:rPr>
          <w:rFonts w:ascii="Arial" w:cs="Arial" w:eastAsia="Arial" w:hAnsi="Arial"/>
          <w:b w:val="false"/>
          <w:bCs w:val="false"/>
          <w:i w:val="false"/>
          <w:iCs w:val="false"/>
          <w:color w:val="121417"/>
          <w:sz w:val="21"/>
          <w:szCs w:val="21"/>
        </w:rPr>
        <w:t xml:space="preserve"/>
      </w:r>
    </w:p>
    <w:p>
      <w:pPr>
        <w:spacing w:after="60" w:before="60"/>
        <w:jc w:val="left"/>
      </w:pPr>
      <w:r>
        <w:rPr>
          <w:rFonts w:ascii="Arial" w:cs="Arial" w:eastAsia="Arial" w:hAnsi="Arial"/>
          <w:b w:val="false"/>
          <w:bCs w:val="false"/>
          <w:i w:val="false"/>
          <w:iCs w:val="false"/>
          <w:color w:val="121417"/>
          <w:sz w:val="21"/>
          <w:szCs w:val="21"/>
        </w:rPr>
        <w:t xml:space="preserve">Typographie recommandée : Inter ou Poppins pour les titres et l'interface, DM Mono pour les données chiffrées (prix, quantités).</w:t>
      </w:r>
    </w:p>
    <w:p>
      <w:pPr>
        <w:spacing w:after="0" w:before="0"/>
      </w:pPr>
      <w:r>
        <w:br w:type="page"/>
      </w:r>
    </w:p>
    <w:p>
      <w:pPr>
        <w:pStyle w:val="Heading1"/>
        <w:pBdr>
          <w:bottom w:val="single" w:color="00A86B" w:sz="4" w:space="4"/>
        </w:pBdr>
        <w:spacing w:after="180" w:before="360"/>
      </w:pPr>
      <w:r>
        <w:rPr>
          <w:rFonts w:ascii="Arial" w:cs="Arial" w:eastAsia="Arial" w:hAnsi="Arial"/>
          <w:b/>
          <w:bCs/>
          <w:caps/>
          <w:color w:val="12355B"/>
          <w:sz w:val="34"/>
          <w:szCs w:val="34"/>
        </w:rPr>
        <w:t xml:space="preserve">12. Roadmap Complète — MVP1 / MVP2 / MVP3</w:t>
      </w:r>
    </w:p>
    <w:p>
      <w:pPr>
        <w:spacing w:after="60" w:before="60"/>
        <w:jc w:val="left"/>
      </w:pPr>
      <w:r>
        <w:rPr>
          <w:rFonts w:ascii="Arial" w:cs="Arial" w:eastAsia="Arial" w:hAnsi="Arial"/>
          <w:b w:val="false"/>
          <w:bCs w:val="false"/>
          <w:i w:val="false"/>
          <w:iCs w:val="false"/>
          <w:color w:val="121417"/>
          <w:sz w:val="21"/>
          <w:szCs w:val="21"/>
        </w:rPr>
        <w:t xml:space="preserve"/>
      </w:r>
    </w:p>
    <w:p>
      <w:pPr>
        <w:spacing w:after="60" w:before="60"/>
        <w:jc w:val="left"/>
      </w:pPr>
      <w:r>
        <w:rPr>
          <w:rFonts w:ascii="Arial" w:cs="Arial" w:eastAsia="Arial" w:hAnsi="Arial"/>
          <w:b w:val="false"/>
          <w:bCs w:val="false"/>
          <w:i w:val="false"/>
          <w:iCs w:val="false"/>
          <w:color w:val="121417"/>
          <w:sz w:val="21"/>
          <w:szCs w:val="21"/>
        </w:rPr>
        <w:t xml:space="preserve">Récapitulatif exhaustif de toutes les fonctionnalités décidées, réparties selon leur dépendance logique et leur urgence métier.</w:t>
      </w:r>
    </w:p>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9026"/>
      </w:tblGrid>
      <w:tr>
        <w:tc>
          <w:tcPr>
            <w:tcBorders>
              <w:top w:val="single" w:color="00A86B" w:sz="1"/>
              <w:left w:val="single" w:color="00A86B" w:sz="1"/>
              <w:bottom w:val="single" w:color="00A86B" w:sz="1"/>
              <w:right w:val="single" w:color="00A86B" w:sz="1"/>
            </w:tcBorders>
            <w:shd w:fill="00A86B" w:val="clear"/>
            <w:tcMar>
              <w:top w:type="dxa" w:w="70"/>
              <w:left w:type="dxa" w:w="130"/>
              <w:bottom w:type="dxa" w:w="70"/>
              <w:right w:type="dxa" w:w="130"/>
            </w:tcMar>
            <w:vAlign w:val="center"/>
          </w:tcPr>
          <w:p>
            <w:pPr>
              <w:spacing w:after="10" w:before="70"/>
              <w:jc w:val="center"/>
            </w:pPr>
            <w:r>
              <w:rPr>
                <w:rFonts w:ascii="Arial" w:cs="Arial" w:eastAsia="Arial" w:hAnsi="Arial"/>
                <w:b/>
                <w:bCs/>
                <w:caps/>
                <w:color w:val="FFFFFF"/>
                <w:sz w:val="26"/>
                <w:szCs w:val="26"/>
              </w:rPr>
              <w:t xml:space="preserve">MVP1 — LE SOCLE</w:t>
            </w:r>
          </w:p>
          <w:p>
            <w:pPr>
              <w:spacing w:after="70" w:before="0"/>
              <w:jc w:val="center"/>
            </w:pPr>
            <w:r>
              <w:rPr>
                <w:rFonts w:ascii="Arial" w:cs="Arial" w:eastAsia="Arial" w:hAnsi="Arial"/>
                <w:i/>
                <w:iCs/>
                <w:color w:val="FFFFFF"/>
                <w:sz w:val="19"/>
                <w:szCs w:val="19"/>
              </w:rPr>
              <w:t xml:space="preserve">Le minimum vendable : vendre et suivre, même hors-ligne</w:t>
            </w:r>
          </w:p>
        </w:tc>
      </w:tr>
    </w:tbl>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500"/>
        <w:gridCol w:w="6126"/>
        <w:gridCol w:w="2400"/>
      </w:tblGrid>
      <w:tr>
        <w:tc>
          <w:tcPr>
            <w:tcW w:type="dxa" w:w="5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w:t>
            </w:r>
          </w:p>
        </w:tc>
        <w:tc>
          <w:tcPr>
            <w:tcW w:type="dxa" w:w="61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Fonctionnalité</w:t>
            </w:r>
          </w:p>
        </w:tc>
        <w:tc>
          <w:tcPr>
            <w:tcW w:type="dxa" w:w="24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Suite</w:t>
            </w:r>
          </w:p>
        </w:tc>
      </w:tr>
      <w:tr>
        <w:tc>
          <w:tcPr>
            <w:tcW w:type="dxa" w:w="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1</w:t>
            </w:r>
          </w:p>
        </w:tc>
        <w:tc>
          <w:tcPr>
            <w:tcW w:type="dxa" w:w="61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Architecture multi-tenant + RLS</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ADN</w:t>
            </w:r>
          </w:p>
        </w:tc>
      </w:tr>
      <w:tr>
        <w:tc>
          <w:tcPr>
            <w:tcW w:type="dxa" w:w="5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2</w:t>
            </w:r>
          </w:p>
        </w:tc>
        <w:tc>
          <w:tcPr>
            <w:tcW w:type="dxa" w:w="61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Authentification &amp; rôles</w:t>
            </w:r>
          </w:p>
        </w:tc>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ADN</w:t>
            </w:r>
          </w:p>
        </w:tc>
      </w:tr>
      <w:tr>
        <w:tc>
          <w:tcPr>
            <w:tcW w:type="dxa" w:w="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3</w:t>
            </w:r>
          </w:p>
        </w:tc>
        <w:tc>
          <w:tcPr>
            <w:tcW w:type="dxa" w:w="61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Gestion de stock complète (4 prix, variantes, mouvements)</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Stock</w:t>
            </w:r>
          </w:p>
        </w:tc>
      </w:tr>
      <w:tr>
        <w:tc>
          <w:tcPr>
            <w:tcW w:type="dxa" w:w="5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4</w:t>
            </w:r>
          </w:p>
        </w:tc>
        <w:tc>
          <w:tcPr>
            <w:tcW w:type="dxa" w:w="61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Inventaire physique</w:t>
            </w:r>
          </w:p>
        </w:tc>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Stock</w:t>
            </w:r>
          </w:p>
        </w:tc>
      </w:tr>
      <w:tr>
        <w:tc>
          <w:tcPr>
            <w:tcW w:type="dxa" w:w="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5</w:t>
            </w:r>
          </w:p>
        </w:tc>
        <w:tc>
          <w:tcPr>
            <w:tcW w:type="dxa" w:w="61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Point de vente / Caisse</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POS</w:t>
            </w:r>
          </w:p>
        </w:tc>
      </w:tr>
      <w:tr>
        <w:tc>
          <w:tcPr>
            <w:tcW w:type="dxa" w:w="5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6</w:t>
            </w:r>
          </w:p>
        </w:tc>
        <w:tc>
          <w:tcPr>
            <w:tcW w:type="dxa" w:w="61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Gestion des acomptes</w:t>
            </w:r>
          </w:p>
        </w:tc>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POS</w:t>
            </w:r>
          </w:p>
        </w:tc>
      </w:tr>
      <w:tr>
        <w:tc>
          <w:tcPr>
            <w:tcW w:type="dxa" w:w="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7</w:t>
            </w:r>
          </w:p>
        </w:tc>
        <w:tc>
          <w:tcPr>
            <w:tcW w:type="dxa" w:w="61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Mode hors-ligne natif</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POS / Stock</w:t>
            </w:r>
          </w:p>
        </w:tc>
      </w:tr>
      <w:tr>
        <w:tc>
          <w:tcPr>
            <w:tcW w:type="dxa" w:w="5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8</w:t>
            </w:r>
          </w:p>
        </w:tc>
        <w:tc>
          <w:tcPr>
            <w:tcW w:type="dxa" w:w="61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Dashboard simple</w:t>
            </w:r>
          </w:p>
        </w:tc>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Analytics</w:t>
            </w:r>
          </w:p>
        </w:tc>
      </w:tr>
      <w:tr>
        <w:tc>
          <w:tcPr>
            <w:tcW w:type="dxa" w:w="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9</w:t>
            </w:r>
          </w:p>
        </w:tc>
        <w:tc>
          <w:tcPr>
            <w:tcW w:type="dxa" w:w="61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Traçabilité des prix négociés</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POS</w:t>
            </w:r>
          </w:p>
        </w:tc>
      </w:tr>
    </w:tbl>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9026"/>
      </w:tblGrid>
      <w:tr>
        <w:tc>
          <w:tcPr>
            <w:tcBorders>
              <w:top w:val="single" w:color="F59E0B" w:sz="1"/>
              <w:left w:val="single" w:color="F59E0B" w:sz="1"/>
              <w:bottom w:val="single" w:color="F59E0B" w:sz="1"/>
              <w:right w:val="single" w:color="F59E0B" w:sz="1"/>
            </w:tcBorders>
            <w:shd w:fill="F59E0B" w:val="clear"/>
            <w:tcMar>
              <w:top w:type="dxa" w:w="70"/>
              <w:left w:type="dxa" w:w="130"/>
              <w:bottom w:type="dxa" w:w="70"/>
              <w:right w:type="dxa" w:w="130"/>
            </w:tcMar>
            <w:vAlign w:val="center"/>
          </w:tcPr>
          <w:p>
            <w:pPr>
              <w:spacing w:after="10" w:before="70"/>
              <w:jc w:val="center"/>
            </w:pPr>
            <w:r>
              <w:rPr>
                <w:rFonts w:ascii="Arial" w:cs="Arial" w:eastAsia="Arial" w:hAnsi="Arial"/>
                <w:b/>
                <w:bCs/>
                <w:caps/>
                <w:color w:val="FFFFFF"/>
                <w:sz w:val="26"/>
                <w:szCs w:val="26"/>
              </w:rPr>
              <w:t xml:space="preserve">MVP2 — LE PILOTAGE</w:t>
            </w:r>
          </w:p>
          <w:p>
            <w:pPr>
              <w:spacing w:after="70" w:before="0"/>
              <w:jc w:val="center"/>
            </w:pPr>
            <w:r>
              <w:rPr>
                <w:rFonts w:ascii="Arial" w:cs="Arial" w:eastAsia="Arial" w:hAnsi="Arial"/>
                <w:i/>
                <w:iCs/>
                <w:color w:val="FFFFFF"/>
                <w:sz w:val="19"/>
                <w:szCs w:val="19"/>
              </w:rPr>
              <w:t xml:space="preserve">Organiser et fidéliser, une fois le socle stable</w:t>
            </w:r>
          </w:p>
        </w:tc>
      </w:tr>
    </w:tbl>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500"/>
        <w:gridCol w:w="6126"/>
        <w:gridCol w:w="2400"/>
      </w:tblGrid>
      <w:tr>
        <w:tc>
          <w:tcPr>
            <w:tcW w:type="dxa" w:w="5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w:t>
            </w:r>
          </w:p>
        </w:tc>
        <w:tc>
          <w:tcPr>
            <w:tcW w:type="dxa" w:w="61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Fonctionnalité</w:t>
            </w:r>
          </w:p>
        </w:tc>
        <w:tc>
          <w:tcPr>
            <w:tcW w:type="dxa" w:w="24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Suite</w:t>
            </w:r>
          </w:p>
        </w:tc>
      </w:tr>
      <w:tr>
        <w:tc>
          <w:tcPr>
            <w:tcW w:type="dxa" w:w="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1</w:t>
            </w:r>
          </w:p>
        </w:tc>
        <w:tc>
          <w:tcPr>
            <w:tcW w:type="dxa" w:w="61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Trésorerie complète</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Pay</w:t>
            </w:r>
          </w:p>
        </w:tc>
      </w:tr>
      <w:tr>
        <w:tc>
          <w:tcPr>
            <w:tcW w:type="dxa" w:w="5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2</w:t>
            </w:r>
          </w:p>
        </w:tc>
        <w:tc>
          <w:tcPr>
            <w:tcW w:type="dxa" w:w="61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Dettes clients avancée (échéancier, relances)</w:t>
            </w:r>
          </w:p>
        </w:tc>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CRM</w:t>
            </w:r>
          </w:p>
        </w:tc>
      </w:tr>
      <w:tr>
        <w:tc>
          <w:tcPr>
            <w:tcW w:type="dxa" w:w="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3</w:t>
            </w:r>
          </w:p>
        </w:tc>
        <w:tc>
          <w:tcPr>
            <w:tcW w:type="dxa" w:w="61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Commandes fournisseurs structurées</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Stock</w:t>
            </w:r>
          </w:p>
        </w:tc>
      </w:tr>
      <w:tr>
        <w:tc>
          <w:tcPr>
            <w:tcW w:type="dxa" w:w="5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4</w:t>
            </w:r>
          </w:p>
        </w:tc>
        <w:tc>
          <w:tcPr>
            <w:tcW w:type="dxa" w:w="61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Gestion des livraisons</w:t>
            </w:r>
          </w:p>
        </w:tc>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CRM</w:t>
            </w:r>
          </w:p>
        </w:tc>
      </w:tr>
      <w:tr>
        <w:tc>
          <w:tcPr>
            <w:tcW w:type="dxa" w:w="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5</w:t>
            </w:r>
          </w:p>
        </w:tc>
        <w:tc>
          <w:tcPr>
            <w:tcW w:type="dxa" w:w="61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Catalogue WhatsApp &amp; boutique en ligne</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Market</w:t>
            </w:r>
          </w:p>
        </w:tc>
      </w:tr>
      <w:tr>
        <w:tc>
          <w:tcPr>
            <w:tcW w:type="dxa" w:w="5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6</w:t>
            </w:r>
          </w:p>
        </w:tc>
        <w:tc>
          <w:tcPr>
            <w:tcW w:type="dxa" w:w="61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Programme de fidélité</w:t>
            </w:r>
          </w:p>
        </w:tc>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CRM</w:t>
            </w:r>
          </w:p>
        </w:tc>
      </w:tr>
      <w:tr>
        <w:tc>
          <w:tcPr>
            <w:tcW w:type="dxa" w:w="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7</w:t>
            </w:r>
          </w:p>
        </w:tc>
        <w:tc>
          <w:tcPr>
            <w:tcW w:type="dxa" w:w="61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Rapports avancés</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Analytics</w:t>
            </w:r>
          </w:p>
        </w:tc>
      </w:tr>
      <w:tr>
        <w:tc>
          <w:tcPr>
            <w:tcW w:type="dxa" w:w="5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8</w:t>
            </w:r>
          </w:p>
        </w:tc>
        <w:tc>
          <w:tcPr>
            <w:tcW w:type="dxa" w:w="61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Abonnements FedaPay (paiement SaaS)</w:t>
            </w:r>
          </w:p>
        </w:tc>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Pay</w:t>
            </w:r>
          </w:p>
        </w:tc>
      </w:tr>
      <w:tr>
        <w:tc>
          <w:tcPr>
            <w:tcW w:type="dxa" w:w="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9</w:t>
            </w:r>
          </w:p>
        </w:tc>
        <w:tc>
          <w:tcPr>
            <w:tcW w:type="dxa" w:w="61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Notifications SMS/WhatsApp</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CRM</w:t>
            </w:r>
          </w:p>
        </w:tc>
      </w:tr>
    </w:tbl>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9026"/>
      </w:tblGrid>
      <w:tr>
        <w:tc>
          <w:tcPr>
            <w:tcBorders>
              <w:top w:val="single" w:color="6B4E9C" w:sz="1"/>
              <w:left w:val="single" w:color="6B4E9C" w:sz="1"/>
              <w:bottom w:val="single" w:color="6B4E9C" w:sz="1"/>
              <w:right w:val="single" w:color="6B4E9C" w:sz="1"/>
            </w:tcBorders>
            <w:shd w:fill="6B4E9C" w:val="clear"/>
            <w:tcMar>
              <w:top w:type="dxa" w:w="70"/>
              <w:left w:type="dxa" w:w="130"/>
              <w:bottom w:type="dxa" w:w="70"/>
              <w:right w:type="dxa" w:w="130"/>
            </w:tcMar>
            <w:vAlign w:val="center"/>
          </w:tcPr>
          <w:p>
            <w:pPr>
              <w:spacing w:after="10" w:before="70"/>
              <w:jc w:val="center"/>
            </w:pPr>
            <w:r>
              <w:rPr>
                <w:rFonts w:ascii="Arial" w:cs="Arial" w:eastAsia="Arial" w:hAnsi="Arial"/>
                <w:b/>
                <w:bCs/>
                <w:caps/>
                <w:color w:val="FFFFFF"/>
                <w:sz w:val="26"/>
                <w:szCs w:val="26"/>
              </w:rPr>
              <w:t xml:space="preserve">MVP3 — L'INTELLIGENCE</w:t>
            </w:r>
          </w:p>
          <w:p>
            <w:pPr>
              <w:spacing w:after="70" w:before="0"/>
              <w:jc w:val="center"/>
            </w:pPr>
            <w:r>
              <w:rPr>
                <w:rFonts w:ascii="Arial" w:cs="Arial" w:eastAsia="Arial" w:hAnsi="Arial"/>
                <w:i/>
                <w:iCs/>
                <w:color w:val="FFFFFF"/>
                <w:sz w:val="19"/>
                <w:szCs w:val="19"/>
              </w:rPr>
              <w:t xml:space="preserve">Anticiper et grandir, une fois la donnée accumulée</w:t>
            </w:r>
          </w:p>
        </w:tc>
      </w:tr>
    </w:tbl>
    <w:p>
      <w:pPr>
        <w:spacing w:after="60" w:before="60"/>
        <w:jc w:val="left"/>
      </w:pPr>
      <w:r>
        <w:rPr>
          <w:rFonts w:ascii="Arial" w:cs="Arial" w:eastAsia="Arial" w:hAnsi="Arial"/>
          <w:b w:val="false"/>
          <w:bCs w:val="false"/>
          <w:i w:val="false"/>
          <w:iCs w:val="false"/>
          <w:color w:val="121417"/>
          <w:sz w:val="21"/>
          <w:szCs w:val="21"/>
        </w:rPr>
        <w:t xml:space="preserve"/>
      </w:r>
    </w:p>
    <w:tbl>
      <w:tblPr>
        <w:tblW w:type="dxa" w:w="9026"/>
        <w:tblBorders>
          <w:top w:val="single" w:color="auto" w:sz="4"/>
          <w:start w:val="single" w:color="auto" w:sz="4"/>
          <w:bottom w:val="single" w:color="auto" w:sz="4"/>
          <w:end w:val="single" w:color="auto" w:sz="4"/>
          <w:insideH w:val="single" w:color="auto" w:sz="4"/>
          <w:insideV w:val="single" w:color="auto" w:sz="4"/>
        </w:tblBorders>
      </w:tblPr>
      <w:tblGrid>
        <w:gridCol w:w="500"/>
        <w:gridCol w:w="6126"/>
        <w:gridCol w:w="2400"/>
      </w:tblGrid>
      <w:tr>
        <w:tc>
          <w:tcPr>
            <w:tcW w:type="dxa" w:w="5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w:t>
            </w:r>
          </w:p>
        </w:tc>
        <w:tc>
          <w:tcPr>
            <w:tcW w:type="dxa" w:w="6126"/>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Fonctionnalité</w:t>
            </w:r>
          </w:p>
        </w:tc>
        <w:tc>
          <w:tcPr>
            <w:tcW w:type="dxa" w:w="2400"/>
            <w:tcBorders>
              <w:top w:val="single" w:color="12355B" w:sz="1"/>
              <w:left w:val="single" w:color="12355B" w:sz="1"/>
              <w:bottom w:val="single" w:color="12355B" w:sz="1"/>
              <w:right w:val="single" w:color="12355B" w:sz="1"/>
            </w:tcBorders>
            <w:shd w:fill="12355B" w:val="clear"/>
            <w:tcMar>
              <w:top w:type="dxa" w:w="70"/>
              <w:left w:type="dxa" w:w="130"/>
              <w:bottom w:type="dxa" w:w="70"/>
              <w:right w:type="dxa" w:w="130"/>
            </w:tcMar>
            <w:vAlign w:val="center"/>
          </w:tcPr>
          <w:p>
            <w:pPr>
              <w:spacing w:after="50" w:before="50"/>
              <w:jc w:val="left"/>
            </w:pPr>
            <w:r>
              <w:rPr>
                <w:rFonts w:ascii="Arial" w:cs="Arial" w:eastAsia="Arial" w:hAnsi="Arial"/>
                <w:b/>
                <w:bCs/>
                <w:color w:val="FFFFFF"/>
                <w:sz w:val="20"/>
                <w:szCs w:val="20"/>
              </w:rPr>
              <w:t xml:space="preserve">Suite</w:t>
            </w:r>
          </w:p>
        </w:tc>
      </w:tr>
      <w:tr>
        <w:tc>
          <w:tcPr>
            <w:tcW w:type="dxa" w:w="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1</w:t>
            </w:r>
          </w:p>
        </w:tc>
        <w:tc>
          <w:tcPr>
            <w:tcW w:type="dxa" w:w="61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Multi-boutiques</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ADN / Stock</w:t>
            </w:r>
          </w:p>
        </w:tc>
      </w:tr>
      <w:tr>
        <w:tc>
          <w:tcPr>
            <w:tcW w:type="dxa" w:w="5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2</w:t>
            </w:r>
          </w:p>
        </w:tc>
        <w:tc>
          <w:tcPr>
            <w:tcW w:type="dxa" w:w="61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Application mobile Flutter native</w:t>
            </w:r>
          </w:p>
        </w:tc>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POS</w:t>
            </w:r>
          </w:p>
        </w:tc>
      </w:tr>
      <w:tr>
        <w:tc>
          <w:tcPr>
            <w:tcW w:type="dxa" w:w="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3</w:t>
            </w:r>
          </w:p>
        </w:tc>
        <w:tc>
          <w:tcPr>
            <w:tcW w:type="dxa" w:w="61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Assistant IA commerçant</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AI</w:t>
            </w:r>
          </w:p>
        </w:tc>
      </w:tr>
      <w:tr>
        <w:tc>
          <w:tcPr>
            <w:tcW w:type="dxa" w:w="5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4</w:t>
            </w:r>
          </w:p>
        </w:tc>
        <w:tc>
          <w:tcPr>
            <w:tcW w:type="dxa" w:w="6126"/>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Prévisions de stock IA</w:t>
            </w:r>
          </w:p>
        </w:tc>
        <w:tc>
          <w:tcPr>
            <w:tcW w:type="dxa" w:w="2400"/>
            <w:tcBorders>
              <w:top w:val="single" w:color="DDE1E6" w:sz="1"/>
              <w:left w:val="single" w:color="DDE1E6" w:sz="1"/>
              <w:bottom w:val="single" w:color="DDE1E6" w:sz="1"/>
              <w:right w:val="single" w:color="DDE1E6" w:sz="1"/>
            </w:tcBorders>
            <w:shd w:fill="F4F5F7"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AI</w:t>
            </w:r>
          </w:p>
        </w:tc>
      </w:tr>
      <w:tr>
        <w:tc>
          <w:tcPr>
            <w:tcW w:type="dxa" w:w="5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5</w:t>
            </w:r>
          </w:p>
        </w:tc>
        <w:tc>
          <w:tcPr>
            <w:tcW w:type="dxa" w:w="6126"/>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Exports comptables / intégrations tierces</w:t>
            </w:r>
          </w:p>
        </w:tc>
        <w:tc>
          <w:tcPr>
            <w:tcW w:type="dxa" w:w="2400"/>
            <w:tcBorders>
              <w:top w:val="single" w:color="DDE1E6" w:sz="1"/>
              <w:left w:val="single" w:color="DDE1E6" w:sz="1"/>
              <w:bottom w:val="single" w:color="DDE1E6" w:sz="1"/>
              <w:right w:val="single" w:color="DDE1E6" w:sz="1"/>
            </w:tcBorders>
            <w:shd w:fill="FFFFFF" w:val="clear"/>
            <w:tcMar>
              <w:top w:type="dxa" w:w="70"/>
              <w:left w:type="dxa" w:w="130"/>
              <w:bottom w:type="dxa" w:w="70"/>
              <w:right w:type="dxa" w:w="130"/>
            </w:tcMar>
            <w:vAlign w:val="center"/>
          </w:tcPr>
          <w:p>
            <w:pPr>
              <w:spacing w:after="50" w:before="50"/>
              <w:jc w:val="left"/>
            </w:pPr>
            <w:r>
              <w:rPr>
                <w:rFonts w:ascii="Arial" w:cs="Arial" w:eastAsia="Arial" w:hAnsi="Arial"/>
                <w:b w:val="false"/>
                <w:bCs w:val="false"/>
                <w:color w:val="121417"/>
                <w:sz w:val="20"/>
                <w:szCs w:val="20"/>
              </w:rPr>
              <w:t xml:space="preserve">Wilinwi Analytics</w:t>
            </w:r>
          </w:p>
        </w:tc>
      </w:tr>
    </w:tbl>
    <w:p>
      <w:pPr>
        <w:spacing w:after="60" w:before="60"/>
        <w:jc w:val="left"/>
      </w:pPr>
      <w:r>
        <w:rPr>
          <w:rFonts w:ascii="Arial" w:cs="Arial" w:eastAsia="Arial" w:hAnsi="Arial"/>
          <w:b w:val="false"/>
          <w:bCs w:val="false"/>
          <w:i w:val="false"/>
          <w:iCs w:val="false"/>
          <w:color w:val="121417"/>
          <w:sz w:val="21"/>
          <w:szCs w:val="21"/>
        </w:rPr>
        <w:t xml:space="preserve"/>
      </w:r>
    </w:p>
    <w:p>
      <w:pPr>
        <w:pBdr>
          <w:left w:val="single" w:color="C0392B" w:sz="8" w:space="10"/>
        </w:pBdr>
        <w:shd w:fill="FBE9E7" w:val="clear"/>
        <w:spacing w:after="80" w:before="80"/>
      </w:pPr>
      <w:r>
        <w:rPr>
          <w:rFonts w:ascii="Arial" w:cs="Arial" w:eastAsia="Arial" w:hAnsi="Arial"/>
          <w:i/>
          <w:iCs/>
          <w:color w:val="12355B"/>
          <w:sz w:val="21"/>
          <w:szCs w:val="21"/>
        </w:rPr>
        <w:t xml:space="preserve">Note ouverte : un point n°1 mentionné dans un retour précédent est resté vide (probable coupure de dictée vocale) — à clarifier pour considérer cette roadmap définitivement complète.</w:t>
      </w:r>
    </w:p>
    <w:p>
      <w:pPr>
        <w:spacing w:after="0" w:before="0"/>
      </w:pPr>
      <w:r>
        <w:br w:type="page"/>
      </w:r>
    </w:p>
    <w:p>
      <w:pPr>
        <w:spacing w:after="60" w:before="60"/>
        <w:jc w:val="left"/>
      </w:pPr>
      <w:r>
        <w:rPr>
          <w:rFonts w:ascii="Arial" w:cs="Arial" w:eastAsia="Arial" w:hAnsi="Arial"/>
          <w:b w:val="false"/>
          <w:bCs w:val="false"/>
          <w:i w:val="false"/>
          <w:iCs w:val="false"/>
          <w:color w:val="121417"/>
          <w:sz w:val="21"/>
          <w:szCs w:val="21"/>
        </w:rPr>
        <w:t xml:space="preserve"/>
      </w:r>
    </w:p>
    <w:p>
      <w:pPr>
        <w:spacing w:after="60" w:before="60"/>
        <w:jc w:val="left"/>
      </w:pPr>
      <w:r>
        <w:rPr>
          <w:rFonts w:ascii="Arial" w:cs="Arial" w:eastAsia="Arial" w:hAnsi="Arial"/>
          <w:b w:val="false"/>
          <w:bCs w:val="false"/>
          <w:i w:val="false"/>
          <w:iCs w:val="false"/>
          <w:color w:val="121417"/>
          <w:sz w:val="21"/>
          <w:szCs w:val="21"/>
        </w:rPr>
        <w:t xml:space="preserve"/>
      </w:r>
    </w:p>
    <w:p>
      <w:pPr>
        <w:spacing w:after="60" w:before="60"/>
        <w:jc w:val="left"/>
      </w:pPr>
      <w:r>
        <w:rPr>
          <w:rFonts w:ascii="Arial" w:cs="Arial" w:eastAsia="Arial" w:hAnsi="Arial"/>
          <w:b w:val="false"/>
          <w:bCs w:val="false"/>
          <w:i w:val="false"/>
          <w:iCs w:val="false"/>
          <w:color w:val="121417"/>
          <w:sz w:val="21"/>
          <w:szCs w:val="21"/>
        </w:rPr>
        <w:t xml:space="preserve"/>
      </w:r>
    </w:p>
    <w:p>
      <w:pPr>
        <w:spacing w:after="60" w:before="60"/>
        <w:jc w:val="left"/>
      </w:pPr>
      <w:r>
        <w:rPr>
          <w:rFonts w:ascii="Arial" w:cs="Arial" w:eastAsia="Arial" w:hAnsi="Arial"/>
          <w:b w:val="false"/>
          <w:bCs w:val="false"/>
          <w:i w:val="false"/>
          <w:iCs w:val="false"/>
          <w:color w:val="121417"/>
          <w:sz w:val="21"/>
          <w:szCs w:val="21"/>
        </w:rPr>
        <w:t xml:space="preserve"/>
      </w:r>
    </w:p>
    <w:p>
      <w:pPr>
        <w:spacing w:after="60" w:before="60"/>
        <w:jc w:val="left"/>
      </w:pPr>
      <w:r>
        <w:rPr>
          <w:rFonts w:ascii="Arial" w:cs="Arial" w:eastAsia="Arial" w:hAnsi="Arial"/>
          <w:b w:val="false"/>
          <w:bCs w:val="false"/>
          <w:i w:val="false"/>
          <w:iCs w:val="false"/>
          <w:color w:val="121417"/>
          <w:sz w:val="21"/>
          <w:szCs w:val="21"/>
        </w:rPr>
        <w:t xml:space="preserve"/>
      </w:r>
    </w:p>
    <w:p>
      <w:pPr>
        <w:pBdr>
          <w:top w:val="single" w:color="F59E0B" w:sz="3"/>
        </w:pBdr>
        <w:spacing w:after="30" w:before="160"/>
        <w:jc w:val="center"/>
      </w:pPr>
      <w:r>
        <w:rPr>
          <w:rFonts w:ascii="Arial" w:cs="Arial" w:eastAsia="Arial" w:hAnsi="Arial"/>
          <w:b/>
          <w:bCs/>
          <w:color w:val="12355B"/>
          <w:sz w:val="44"/>
          <w:szCs w:val="44"/>
        </w:rPr>
        <w:t xml:space="preserve">WILINWI</w:t>
      </w:r>
    </w:p>
    <w:p>
      <w:pPr>
        <w:spacing w:after="60" w:before="0"/>
        <w:jc w:val="center"/>
      </w:pPr>
      <w:r>
        <w:rPr>
          <w:rFonts w:ascii="Arial" w:cs="Arial" w:eastAsia="Arial" w:hAnsi="Arial"/>
          <w:b/>
          <w:bCs/>
          <w:i/>
          <w:iCs/>
          <w:color w:val="00A86B"/>
          <w:sz w:val="24"/>
          <w:szCs w:val="24"/>
        </w:rPr>
        <w:t xml:space="preserve">Le système d'exploitation du commerce africain 🚀</w:t>
      </w:r>
    </w:p>
    <w:p>
      <w:pPr>
        <w:spacing w:after="40" w:before="40"/>
        <w:jc w:val="center"/>
      </w:pPr>
      <w:r>
        <w:rPr>
          <w:rFonts w:ascii="Arial" w:cs="Arial" w:eastAsia="Arial" w:hAnsi="Arial"/>
          <w:i/>
          <w:iCs/>
          <w:color w:val="5A6573"/>
          <w:sz w:val="18"/>
          <w:szCs w:val="18"/>
        </w:rPr>
        <w:t xml:space="preserve">Conçu par Nexus Partners · @hopsyder · Juin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60" w:hanging="3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214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aps/>
      <w:color w:val="12355B"/>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00A86B"/>
      <w:sz w:val="25"/>
      <w:szCs w:val="25"/>
    </w:rPr>
  </w:style>
  <w:style w:type="paragraph" w:styleId="Heading3">
    <w:name w:val="Heading 3"/>
    <w:basedOn w:val="Normal"/>
    <w:next w:val="Normal"/>
    <w:qFormat/>
    <w:pPr>
      <w:spacing w:after="90" w:before="180"/>
      <w:outlineLvl w:val="2"/>
    </w:pPr>
    <w:rPr>
      <w:rFonts w:ascii="Arial" w:cs="Arial" w:eastAsia="Arial" w:hAnsi="Arial"/>
      <w:b/>
      <w:bCs/>
      <w:color w:val="F59E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2026-06-19T07:39:33.798Z</dcterms:created>
  <dcterms:modified xsi:type="dcterms:W3CDTF">2026-06-19T07:39:33.811Z</dcterms:modified>
</cp:coreProperties>
</file>

<file path=docProps/custom.xml><?xml version="1.0" encoding="utf-8"?>
<Properties xmlns="http://schemas.openxmlformats.org/officeDocument/2006/custom-properties" xmlns:vt="http://schemas.openxmlformats.org/officeDocument/2006/docPropsVTypes"/>
</file>