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CCName"/>
        <w:jc w:val="center"/>
      </w:pPr>
      <w:r>
        <w:t>Jordan Lee</w:t>
      </w:r>
    </w:p>
    <w:p>
      <w:pPr>
        <w:pStyle w:val="CCCHeadline"/>
        <w:jc w:val="center"/>
      </w:pPr>
      <w:r>
        <w:t>PRODUCT OPERATIONS &amp; DIGITAL TRANSFORMATION MANAGER</w:t>
      </w:r>
    </w:p>
    <w:p>
      <w:pPr>
        <w:pStyle w:val="CCCContact"/>
        <w:jc w:val="center"/>
      </w:pPr>
      <w:r>
        <w:t>Sydney, Australia</w:t>
      </w:r>
      <w:r>
        <w:t xml:space="preserve">  |  </w:t>
      </w:r>
      <w:hyperlink r:id="rId15">
        <w:r>
          <w:rPr>
            <w:rFonts w:ascii="Arial" w:hAnsi="Arial"/>
            <w:color w:val="17324D"/>
            <w:u w:val="single"/>
            <w:sz w:val="20"/>
          </w:rPr>
          <w:t>jordan.lee@example.com</w:t>
        </w:r>
      </w:hyperlink>
      <w:r>
        <w:t xml:space="preserve">  |  </w:t>
      </w:r>
      <w:r>
        <w:t>+61 400 000 000</w:t>
      </w:r>
      <w:r>
        <w:t xml:space="preserve">  |  </w:t>
      </w:r>
      <w:r>
        <w:t>Full Australian work rights</w:t>
      </w:r>
    </w:p>
    <w:p>
      <w:pPr>
        <w:pStyle w:val="CCCHeading"/>
        <w:pBdr>
          <w:bottom w:val="single" w:sz="6" w:space="1" w:color="D6DEE6"/>
        </w:pBdr>
      </w:pPr>
      <w:r>
        <w:t>PROFESSIONAL SUMMARY</w:t>
      </w:r>
    </w:p>
    <w:p>
      <w:pPr>
        <w:keepLines/>
        <w:spacing w:after="560"/>
      </w:pPr>
      <w:r>
        <w:t>Product operations and transformation professional with eight years of experience improving SaaS and service operations across Australia and Singapore. Brings evidence in transformation governance, operating-role clarity, workflow redesign and adoption of new tools.</w:t>
      </w:r>
    </w:p>
    <w:p>
      <w:pPr>
        <w:keepLines/>
        <w:spacing w:after="560"/>
      </w:pPr>
      <w:r>
        <w:t>Known for bringing structure to ambiguous work, connecting cross-functional teams and translating strategic priorities into practical delivery routines with visible decisions, risks and customer impacts.</w:t>
      </w:r>
    </w:p>
    <w:p>
      <w:pPr>
        <w:pStyle w:val="CCCHeading"/>
        <w:pBdr>
          <w:bottom w:val="single" w:sz="6" w:space="1" w:color="D6DEE6"/>
        </w:pBdr>
      </w:pPr>
      <w:r>
        <w:t>ROLE-MATCH EXPERIENCE</w:t>
      </w:r>
    </w:p>
    <w:p>
      <w:pPr>
        <w:pStyle w:val="CCCBullet"/>
        <w:spacing w:after="480"/>
      </w:pPr>
      <w:r>
        <w:t xml:space="preserve">• </w:t>
      </w:r>
      <w:r>
        <w:t>Established a weekly portfolio governance rhythm for more than 40 active initiatives, strengthening decision visibility and escalation discipline for senior leaders.</w:t>
      </w:r>
    </w:p>
    <w:p>
      <w:pPr>
        <w:pStyle w:val="CCCBullet"/>
        <w:spacing w:after="480"/>
      </w:pPr>
      <w:r>
        <w:t xml:space="preserve">• </w:t>
      </w:r>
      <w:r>
        <w:t>Coordinated service redesign across Australia and Singapore, aligning operating roles, hand-offs and performance measures across country contexts.</w:t>
      </w:r>
    </w:p>
    <w:p>
      <w:pPr>
        <w:pStyle w:val="CCCBullet"/>
        <w:spacing w:after="480"/>
      </w:pPr>
      <w:r>
        <w:t xml:space="preserve">• </w:t>
      </w:r>
      <w:r>
        <w:t>Led adoption of a new CRM workflow and enablement program, with reported active use increasing from 61% to 85% within six months.</w:t>
      </w:r>
    </w:p>
    <w:p>
      <w:pPr>
        <w:pStyle w:val="CCCBullet"/>
        <w:spacing w:after="480"/>
      </w:pPr>
      <w:r>
        <w:t xml:space="preserve">• </w:t>
      </w:r>
      <w:r>
        <w:t>Built leadership dashboards and governance routines that surfaced delivery risk, dependencies and customer-impact trends in monthly reviews.</w:t>
      </w:r>
    </w:p>
    <w:p>
      <w:pPr>
        <w:pStyle w:val="CCCBullet"/>
        <w:spacing w:after="480"/>
      </w:pPr>
      <w:r>
        <w:t xml:space="preserve">• </w:t>
      </w:r>
      <w:r>
        <w:t>Facilitated operations, technology and frontline workshops to define requirements and support adoption of redesigned processes.</w:t>
      </w:r>
    </w:p>
    <w:p>
      <w:r>
        <w:br w:type="page"/>
      </w:r>
    </w:p>
    <w:p>
      <w:pPr>
        <w:pStyle w:val="CCCHeading"/>
        <w:pBdr>
          <w:bottom w:val="single" w:sz="6" w:space="1" w:color="D6DEE6"/>
        </w:pBdr>
        <w:spacing w:before="360"/>
      </w:pPr>
      <w:r>
        <w:t>PROFESSIONAL EXPERIENCE</w:t>
      </w:r>
    </w:p>
    <w:p>
      <w:pPr>
        <w:pStyle w:val="CCCExperience"/>
      </w:pPr>
      <w:r>
        <w:t>Product Operations Manager | Northstar Software | Sydney | 2022–Present</w:t>
      </w:r>
    </w:p>
    <w:p>
      <w:pPr>
        <w:pStyle w:val="CCCBullet"/>
      </w:pPr>
      <w:r>
        <w:t xml:space="preserve">• </w:t>
      </w:r>
      <w:r>
        <w:t>Redesigned enterprise customer onboarding across Product, Sales and Customer Success, reducing average onboarding time by 22% over twelve months.</w:t>
      </w:r>
    </w:p>
    <w:p>
      <w:pPr>
        <w:pStyle w:val="CCCBullet"/>
      </w:pPr>
      <w:r>
        <w:t xml:space="preserve">• </w:t>
      </w:r>
      <w:r>
        <w:t>Introduced a weekly portfolio governance rhythm for more than 40 active initiatives, improving decision visibility and escalation discipline for senior leaders.</w:t>
      </w:r>
    </w:p>
    <w:p>
      <w:pPr>
        <w:pStyle w:val="CCCBullet"/>
      </w:pPr>
      <w:r>
        <w:t xml:space="preserve">• </w:t>
      </w:r>
      <w:r>
        <w:t>Led adoption of a new CRM workflow and enablement program; reported active use increased from 61% to 85% within six months.</w:t>
      </w:r>
    </w:p>
    <w:p>
      <w:pPr>
        <w:pStyle w:val="CCCBullet"/>
      </w:pPr>
      <w:r>
        <w:t xml:space="preserve">• </w:t>
      </w:r>
      <w:r>
        <w:t>Partnered with product managers and customer teams to turn recurring service issues into prioritised workflow and product improvements.</w:t>
      </w:r>
    </w:p>
    <w:p>
      <w:pPr>
        <w:pStyle w:val="CCCExperience"/>
      </w:pPr>
      <w:r>
        <w:t>Transformation Lead | Harbour Services Group | Sydney / Singapore | 2018–2022</w:t>
      </w:r>
    </w:p>
    <w:p>
      <w:pPr>
        <w:pStyle w:val="CCCBullet"/>
      </w:pPr>
      <w:r>
        <w:t xml:space="preserve">• </w:t>
      </w:r>
      <w:r>
        <w:t>Mapped end-to-end customer journeys and simplified case-management processes across three service teams.</w:t>
      </w:r>
    </w:p>
    <w:p>
      <w:pPr>
        <w:pStyle w:val="CCCBullet"/>
      </w:pPr>
      <w:r>
        <w:t xml:space="preserve">• </w:t>
      </w:r>
      <w:r>
        <w:t>Coordinated a multi-country service redesign across Australia and Singapore, aligning operating roles, hand-offs and performance measures.</w:t>
      </w:r>
    </w:p>
    <w:p>
      <w:pPr>
        <w:pStyle w:val="CCCBullet"/>
      </w:pPr>
      <w:r>
        <w:t xml:space="preserve">• </w:t>
      </w:r>
      <w:r>
        <w:t>Built dashboards and governance routines used in monthly leadership reviews to surface delivery risk, dependencies and customer-impact trends.</w:t>
      </w:r>
    </w:p>
    <w:p>
      <w:pPr>
        <w:pStyle w:val="CCCBullet"/>
      </w:pPr>
      <w:r>
        <w:t xml:space="preserve">• </w:t>
      </w:r>
      <w:r>
        <w:t>Facilitated workshops with operations, technology and frontline teams to define requirements and support adoption of redesigned processes.</w:t>
      </w:r>
    </w:p>
    <w:p>
      <w:pPr>
        <w:pStyle w:val="CCCExperience"/>
      </w:pPr>
      <w:r>
        <w:t>Business Analyst | Eastpoint Group | Sydney | 2016–2018</w:t>
      </w:r>
    </w:p>
    <w:p>
      <w:pPr>
        <w:pStyle w:val="CCCBullet"/>
      </w:pPr>
      <w:r>
        <w:t xml:space="preserve">• </w:t>
      </w:r>
      <w:r>
        <w:t>Gathered requirements and documented current- and future-state workflows for internal operations projects.</w:t>
      </w:r>
    </w:p>
    <w:p>
      <w:pPr>
        <w:pStyle w:val="CCCBullet"/>
      </w:pPr>
      <w:r>
        <w:t xml:space="preserve">• </w:t>
      </w:r>
      <w:r>
        <w:t>Supported delivery planning, issue tracking and stakeholder updates across a portfolio of process-improvement initiatives.</w:t>
      </w:r>
    </w:p>
    <w:p>
      <w:pPr>
        <w:pStyle w:val="CCCHeading"/>
        <w:pBdr>
          <w:bottom w:val="single" w:sz="6" w:space="1" w:color="D6DEE6"/>
        </w:pBdr>
        <w:spacing w:before="360"/>
      </w:pPr>
      <w:r>
        <w:t>CORE SKILLS</w:t>
      </w:r>
    </w:p>
    <w:p>
      <w:pPr>
        <w:keepLines/>
      </w:pPr>
      <w:r>
        <w:t>Transformation governance | Operating-role and workflow redesign | Customer onboarding | Change adoption | Cross-functional facilitation | Portfolio reporting | Requirements analysis | Journey and process mapping | Continuous improvement</w:t>
      </w:r>
    </w:p>
    <w:p>
      <w:pPr>
        <w:pStyle w:val="CCCHeading"/>
        <w:pBdr>
          <w:bottom w:val="single" w:sz="6" w:space="1" w:color="D6DEE6"/>
        </w:pBdr>
        <w:spacing w:before="360"/>
      </w:pPr>
      <w:r>
        <w:t>EDUCATION</w:t>
      </w:r>
    </w:p>
    <w:p>
      <w:pPr>
        <w:keepLines/>
      </w:pPr>
      <w:r>
        <w:t>Bachelor of Business | Southern Coast University | 2015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1909" w:h="16834"/>
      <w:pgMar w:top="835" w:right="950" w:bottom="835" w:left="950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300" w:line="307" w:lineRule="auto"/>
    </w:pPr>
    <w:rPr>
      <w:rFonts w:ascii="Arial" w:hAnsi="Arial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32"/>
      <w:ind w:left="288" w:hanging="202"/>
      <w:contextualSpacing/>
    </w:pPr>
    <w:rPr>
      <w:rFonts w:ascii="Arial" w:hAnsi="Arial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CCName">
    <w:name w:val="CCC Name"/>
    <w:pPr>
      <w:keepNext/>
      <w:spacing w:before="0" w:after="20"/>
    </w:pPr>
    <w:rPr>
      <w:rFonts w:ascii="Arial" w:hAnsi="Arial"/>
      <w:b/>
      <w:color w:val="17324D"/>
      <w:sz w:val="40"/>
    </w:rPr>
  </w:style>
  <w:style w:type="paragraph" w:customStyle="1" w:styleId="CCCHeadline">
    <w:name w:val="CCC Headline"/>
    <w:pPr>
      <w:keepNext/>
      <w:spacing w:before="0" w:after="60"/>
    </w:pPr>
    <w:rPr>
      <w:rFonts w:ascii="Arial" w:hAnsi="Arial"/>
      <w:b/>
      <w:color w:val="4B5563"/>
      <w:sz w:val="21"/>
    </w:rPr>
  </w:style>
  <w:style w:type="paragraph" w:customStyle="1" w:styleId="CCCContact">
    <w:name w:val="CCC Contact"/>
    <w:pPr>
      <w:keepNext/>
      <w:spacing w:before="0" w:after="140"/>
    </w:pPr>
    <w:rPr>
      <w:rFonts w:ascii="Arial" w:hAnsi="Arial"/>
      <w:b w:val="0"/>
      <w:color w:val="4B5563"/>
      <w:sz w:val="19"/>
    </w:rPr>
  </w:style>
  <w:style w:type="paragraph" w:customStyle="1" w:styleId="CCCHeading">
    <w:name w:val="CCC Heading"/>
    <w:pPr>
      <w:keepNext/>
      <w:spacing w:before="240" w:after="160"/>
    </w:pPr>
    <w:rPr>
      <w:rFonts w:ascii="Arial" w:hAnsi="Arial"/>
      <w:b/>
      <w:color w:val="17324D"/>
      <w:sz w:val="21"/>
    </w:rPr>
  </w:style>
  <w:style w:type="paragraph" w:customStyle="1" w:styleId="CCCExperience">
    <w:name w:val="CCC Experience"/>
    <w:pPr>
      <w:keepNext/>
      <w:spacing w:before="160" w:after="80"/>
    </w:pPr>
    <w:rPr>
      <w:rFonts w:ascii="Arial" w:hAnsi="Arial"/>
      <w:b/>
      <w:color w:val="17324D"/>
      <w:sz w:val="20"/>
    </w:rPr>
  </w:style>
  <w:style w:type="paragraph" w:customStyle="1" w:styleId="CCCCoverName">
    <w:name w:val="CCC Cover Name"/>
    <w:pPr>
      <w:keepNext/>
      <w:spacing w:before="0" w:after="40"/>
    </w:pPr>
    <w:rPr>
      <w:rFonts w:ascii="Arial" w:hAnsi="Arial"/>
      <w:b/>
      <w:color w:val="17324D"/>
      <w:sz w:val="34"/>
    </w:rPr>
  </w:style>
  <w:style w:type="paragraph" w:customStyle="1" w:styleId="CCCBullet">
    <w:name w:val="CCC Bullet"/>
    <w:pPr>
      <w:keepLines/>
      <w:spacing w:after="240" w:line="293" w:lineRule="auto"/>
      <w:ind w:left="288" w:hanging="202"/>
    </w:pPr>
    <w:rPr>
      <w:rFonts w:ascii="Arial" w:hAnsi="Arial"/>
      <w:b w:val="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Relationship Id="rId15" Type="http://schemas.openxmlformats.org/officeDocument/2006/relationships/hyperlink" Target="mailto:jordan.lee@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