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CName"/>
      </w:pPr>
      <w:r>
        <w:t>Jordan Lee</w:t>
      </w:r>
    </w:p>
    <w:p>
      <w:pPr>
        <w:pStyle w:val="CCCContact"/>
      </w:pPr>
      <w:r>
        <w:t>Sydney, Australia</w:t>
      </w:r>
      <w:r>
        <w:t xml:space="preserve">  |  </w:t>
      </w:r>
      <w:r>
        <w:t>jordan.lee@example.com</w:t>
      </w:r>
      <w:r>
        <w:t xml:space="preserve">  |  </w:t>
      </w:r>
      <w:r>
        <w:t>+61 400 000 000</w:t>
      </w:r>
      <w:r>
        <w:t xml:space="preserve">  |  </w:t>
      </w:r>
      <w:r>
        <w:t>LinkedIn available on request</w:t>
      </w:r>
    </w:p>
    <w:p>
      <w:r>
        <w:t>15 July 2026</w:t>
      </w:r>
    </w:p>
    <w:p>
      <w:r>
        <w:t>Hiring Team</w:t>
      </w:r>
    </w:p>
    <w:p>
      <w:r>
        <w:t>Atlas Services</w:t>
      </w:r>
    </w:p>
    <w:p>
      <w:r>
        <w:t>Re: Director, Enterprise Transformation</w:t>
      </w:r>
    </w:p>
    <w:p>
      <w:r>
        <w:t>Dear Hiring Team,</w:t>
      </w:r>
    </w:p>
    <w:p>
      <w:r>
        <w:t>Enterprise transformation tends to succeed or stall on the same thing: whether the operating rhythm underneath the strategy actually holds. That is the work I have spent eight years doing across Australia and Singapore - turning ambiguous, cross-functional change into governance, adoption and measurable delivery.</w:t>
      </w:r>
    </w:p>
    <w:p>
      <w:r>
        <w:t>At Northstar Software I introduced a weekly portfolio governance rhythm across more than 40 active initiatives, giving senior leaders clearer decision visibility and sharper escalation discipline - the decision-rights and program-governance backbone this mandate calls for.</w:t>
      </w:r>
    </w:p>
    <w:p>
      <w:r>
        <w:t>The operating-model side is familiar ground. At Harbour Services Group I coordinated a multi-country service redesign across Australia and Singapore, aligning operating roles, hand-offs and performance measures, and built the dashboards and governance routines that surfaced delivery risk in monthly leadership reviews.</w:t>
      </w:r>
    </w:p>
    <w:p>
      <w:r>
        <w:t>Connecting technology adoption to real operating routines is where I add the most value: I led adoption of a new CRM workflow and enablement program that lifted reported active use from 61% to 85% in six months, and I have redesigned enterprise onboarding to cut cycle time by 22%. On the mandate's generative-AI ambition I would come in as a practical translator rather than claim prior AI-advisory work - applying the same adoption and workflow discipline to help executives test where AI genuinely supports workforce decisions.</w:t>
      </w:r>
    </w:p>
    <w:p>
      <w:r>
        <w:t>I would welcome the chance to discuss how this operating-model and governance experience could support Atlas Services' transformation, and I am happy to walk through any of these examples in detail.</w:t>
      </w:r>
    </w:p>
    <w:p>
      <w:r>
        <w:t>Kind regards,</w:t>
      </w:r>
    </w:p>
    <w:p>
      <w:r>
        <w:t>Jordan Lee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1037" w:right="1152" w:bottom="1037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/>
      <w:ind w:left="288" w:hanging="202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CName">
    <w:name w:val="CCC Name"/>
    <w:pPr>
      <w:keepNext/>
      <w:spacing w:before="0" w:after="20"/>
    </w:pPr>
    <w:rPr>
      <w:rFonts w:ascii="Arial" w:hAnsi="Arial"/>
      <w:b/>
      <w:color w:val="17324D"/>
      <w:sz w:val="34"/>
    </w:rPr>
  </w:style>
  <w:style w:type="paragraph" w:customStyle="1" w:styleId="CCCHeadline">
    <w:name w:val="CCC Headline"/>
    <w:pPr>
      <w:keepNext/>
      <w:spacing w:before="0" w:after="40"/>
    </w:pPr>
    <w:rPr>
      <w:rFonts w:ascii="Arial" w:hAnsi="Arial"/>
      <w:b/>
      <w:color w:val="4B5563"/>
      <w:sz w:val="22"/>
    </w:rPr>
  </w:style>
  <w:style w:type="paragraph" w:customStyle="1" w:styleId="CCCContact">
    <w:name w:val="CCC Contact"/>
    <w:pPr>
      <w:keepNext/>
      <w:spacing w:before="0" w:after="100"/>
    </w:pPr>
    <w:rPr>
      <w:rFonts w:ascii="Arial" w:hAnsi="Arial"/>
      <w:b w:val="0"/>
      <w:color w:val="4B5563"/>
      <w:sz w:val="22"/>
    </w:rPr>
  </w:style>
  <w:style w:type="paragraph" w:customStyle="1" w:styleId="CCCHeading">
    <w:name w:val="CCC Heading"/>
    <w:pPr>
      <w:keepNext/>
      <w:spacing w:before="300" w:after="140"/>
    </w:pPr>
    <w:rPr>
      <w:rFonts w:ascii="Arial" w:hAnsi="Arial"/>
      <w:b/>
      <w:color w:val="17324D"/>
      <w:sz w:val="24"/>
    </w:rPr>
  </w:style>
  <w:style w:type="paragraph" w:customStyle="1" w:styleId="CCCExperience">
    <w:name w:val="CCC Experience"/>
    <w:pPr>
      <w:keepNext/>
      <w:spacing w:before="160" w:after="40"/>
    </w:pPr>
    <w:rPr>
      <w:rFonts w:ascii="Arial" w:hAnsi="Arial"/>
      <w:b/>
      <w:color w:val="17324D"/>
      <w:sz w:val="22"/>
    </w:rPr>
  </w:style>
  <w:style w:type="paragraph" w:customStyle="1" w:styleId="CCCCoverName">
    <w:name w:val="CCC Cover Name"/>
    <w:pPr>
      <w:keepNext/>
      <w:spacing w:before="0" w:after="40"/>
    </w:pPr>
    <w:rPr>
      <w:rFonts w:ascii="Arial" w:hAnsi="Arial"/>
      <w:b/>
      <w:color w:val="17324D"/>
      <w:sz w:val="34"/>
    </w:rPr>
  </w:style>
  <w:style w:type="paragraph" w:customStyle="1" w:styleId="CCCBullet">
    <w:name w:val="CCC Bullet"/>
    <w:pPr>
      <w:keepLines/>
      <w:spacing w:after="170" w:line="298" w:lineRule="auto"/>
      <w:ind w:left="288" w:hanging="202"/>
    </w:pPr>
    <w:rPr>
      <w:rFonts w:ascii="Arial" w:hAnsi="Arial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