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i w:val="0"/>
          <w:color w:val="A67018"/>
          <w:sz w:val="18"/>
        </w:rPr>
        <w:t>FICTIONAL TEST PROFILE - NOT A REAL PERSON</w:t>
      </w:r>
    </w:p>
    <w:p>
      <w:pPr>
        <w:spacing w:after="20"/>
        <w:jc w:val="center"/>
      </w:pPr>
      <w:r>
        <w:rPr>
          <w:rFonts w:ascii="Arial" w:hAnsi="Arial"/>
          <w:b/>
          <w:i w:val="0"/>
          <w:color w:val="163758"/>
          <w:sz w:val="44"/>
        </w:rPr>
        <w:t>JORDAN LEE</w:t>
      </w:r>
    </w:p>
    <w:p>
      <w:pPr>
        <w:spacing w:after="40"/>
        <w:jc w:val="center"/>
      </w:pPr>
      <w:r>
        <w:rPr>
          <w:rFonts w:ascii="Arial" w:hAnsi="Arial"/>
          <w:b/>
          <w:i w:val="0"/>
          <w:color w:val="286796"/>
          <w:sz w:val="23"/>
        </w:rPr>
        <w:t>Product Operations &amp; Digital Transformation Manager</w:t>
      </w:r>
    </w:p>
    <w:p>
      <w:pPr>
        <w:spacing w:after="100"/>
        <w:jc w:val="center"/>
        <w:pBdr>
          <w:bottom w:val="single" w:sz="7" w:space="5" w:color="9FB6C9"/>
        </w:pBdr>
      </w:pPr>
      <w:r>
        <w:rPr>
          <w:rFonts w:ascii="Arial" w:hAnsi="Arial"/>
          <w:b w:val="0"/>
          <w:i w:val="0"/>
          <w:color w:val="5F6976"/>
          <w:sz w:val="18"/>
        </w:rPr>
        <w:t>Sydney, Australia  |  jordan.lee@example.com  |  +61 400 000 000  |  LinkedIn available on request</w:t>
      </w:r>
    </w:p>
    <w:p>
      <w:pPr>
        <w:keepNext/>
        <w:spacing w:before="140" w:after="60"/>
        <w:pBdr>
          <w:bottom w:val="single" w:sz="4" w:space="5" w:color="C9D6E2"/>
        </w:pBdr>
      </w:pPr>
      <w:r>
        <w:rPr>
          <w:rFonts w:ascii="Arial" w:hAnsi="Arial"/>
          <w:b/>
          <w:i w:val="0"/>
          <w:color w:val="286796"/>
          <w:sz w:val="20"/>
        </w:rPr>
        <w:t>PROFESSIONAL SUMMARY</w:t>
      </w:r>
    </w:p>
    <w:p>
      <w:pPr>
        <w:spacing w:before="0" w:after="40" w:line="252" w:lineRule="auto"/>
      </w:pPr>
      <w:r>
        <w:rPr>
          <w:rFonts w:ascii="Arial" w:hAnsi="Arial"/>
          <w:b w:val="0"/>
          <w:i w:val="0"/>
          <w:color w:val="1F2937"/>
          <w:sz w:val="18"/>
        </w:rPr>
        <w:t>Product operations and transformation professional with eight years of experience improving SaaS and service operations across Australia and Singapore. Experienced in cross-functional workflow redesign, customer onboarding, operating governance, business analysis and adoption of new tools. Known for bringing structure to ambiguous work and helping teams translate strategy into practical delivery.</w:t>
      </w:r>
    </w:p>
    <w:p>
      <w:pPr>
        <w:keepNext/>
        <w:spacing w:before="140" w:after="60"/>
        <w:pBdr>
          <w:bottom w:val="single" w:sz="4" w:space="5" w:color="C9D6E2"/>
        </w:pBdr>
      </w:pPr>
      <w:r>
        <w:rPr>
          <w:rFonts w:ascii="Arial" w:hAnsi="Arial"/>
          <w:b/>
          <w:i w:val="0"/>
          <w:color w:val="286796"/>
          <w:sz w:val="20"/>
        </w:rPr>
        <w:t>PROFESSIONAL EXPERIENCE</w:t>
      </w:r>
    </w:p>
    <w:p>
      <w:pPr>
        <w:keepNext/>
        <w:spacing w:before="80" w:after="20"/>
      </w:pPr>
      <w:r>
        <w:rPr>
          <w:rFonts w:ascii="Arial" w:hAnsi="Arial"/>
          <w:b/>
          <w:i w:val="0"/>
          <w:color w:val="163758"/>
          <w:sz w:val="19"/>
        </w:rPr>
        <w:t>Product Operations Manager | Northstar Software</w:t>
      </w:r>
      <w:r>
        <w:rPr>
          <w:rFonts w:ascii="Arial" w:hAnsi="Arial"/>
          <w:b w:val="0"/>
          <w:i w:val="0"/>
          <w:color w:val="5F6976"/>
          <w:sz w:val="18"/>
        </w:rPr>
        <w:t xml:space="preserve">  |  Sydney  |  2022-Present</w:t>
      </w:r>
    </w:p>
    <w:p>
      <w:pPr>
        <w:spacing w:before="0" w:after="34" w:line="247" w:lineRule="auto"/>
        <w:ind w:left="244" w:hanging="181"/>
      </w:pPr>
      <w:r>
        <w:rPr>
          <w:rFonts w:ascii="Arial" w:hAnsi="Arial"/>
          <w:b w:val="0"/>
          <w:i w:val="0"/>
          <w:color w:val="1F2937"/>
          <w:sz w:val="18"/>
        </w:rPr>
        <w:t>•  Redesigned enterprise customer onboarding across Product, Sales and Customer Success, reducing average onboarding time by 22% over twelve months.</w:t>
      </w:r>
    </w:p>
    <w:p>
      <w:pPr>
        <w:spacing w:before="0" w:after="34" w:line="247" w:lineRule="auto"/>
        <w:ind w:left="244" w:hanging="181"/>
      </w:pPr>
      <w:r>
        <w:rPr>
          <w:rFonts w:ascii="Arial" w:hAnsi="Arial"/>
          <w:b w:val="0"/>
          <w:i w:val="0"/>
          <w:color w:val="1F2937"/>
          <w:sz w:val="18"/>
        </w:rPr>
        <w:t>•  Introduced a weekly portfolio governance rhythm for more than 40 active initiatives, improving decision visibility and escalation discipline for senior leaders.</w:t>
      </w:r>
    </w:p>
    <w:p>
      <w:pPr>
        <w:spacing w:before="0" w:after="34" w:line="247" w:lineRule="auto"/>
        <w:ind w:left="244" w:hanging="181"/>
      </w:pPr>
      <w:r>
        <w:rPr>
          <w:rFonts w:ascii="Arial" w:hAnsi="Arial"/>
          <w:b w:val="0"/>
          <w:i w:val="0"/>
          <w:color w:val="1F2937"/>
          <w:sz w:val="18"/>
        </w:rPr>
        <w:t>•  Led adoption of a new CRM workflow and enablement program; reported active use increased from 61% to 85% within six months.</w:t>
      </w:r>
    </w:p>
    <w:p>
      <w:pPr>
        <w:spacing w:before="0" w:after="34" w:line="247" w:lineRule="auto"/>
        <w:ind w:left="244" w:hanging="181"/>
      </w:pPr>
      <w:r>
        <w:rPr>
          <w:rFonts w:ascii="Arial" w:hAnsi="Arial"/>
          <w:b w:val="0"/>
          <w:i w:val="0"/>
          <w:color w:val="1F2937"/>
          <w:sz w:val="18"/>
        </w:rPr>
        <w:t>•  Partnered with product managers and customer teams to turn recurring service issues into prioritised workflow and product improvements.</w:t>
      </w:r>
    </w:p>
    <w:p>
      <w:pPr>
        <w:keepNext/>
        <w:spacing w:before="80" w:after="20"/>
      </w:pPr>
      <w:r>
        <w:rPr>
          <w:rFonts w:ascii="Arial" w:hAnsi="Arial"/>
          <w:b/>
          <w:i w:val="0"/>
          <w:color w:val="163758"/>
          <w:sz w:val="19"/>
        </w:rPr>
        <w:t>Transformation Lead | Harbour Services Group</w:t>
      </w:r>
      <w:r>
        <w:rPr>
          <w:rFonts w:ascii="Arial" w:hAnsi="Arial"/>
          <w:b w:val="0"/>
          <w:i w:val="0"/>
          <w:color w:val="5F6976"/>
          <w:sz w:val="18"/>
        </w:rPr>
        <w:t xml:space="preserve">  |  Sydney / Singapore  |  2018-2022</w:t>
      </w:r>
    </w:p>
    <w:p>
      <w:pPr>
        <w:spacing w:before="0" w:after="34" w:line="247" w:lineRule="auto"/>
        <w:ind w:left="244" w:hanging="181"/>
      </w:pPr>
      <w:r>
        <w:rPr>
          <w:rFonts w:ascii="Arial" w:hAnsi="Arial"/>
          <w:b w:val="0"/>
          <w:i w:val="0"/>
          <w:color w:val="1F2937"/>
          <w:sz w:val="18"/>
        </w:rPr>
        <w:t>•  Mapped end-to-end customer journeys and simplified case-management processes across three service teams.</w:t>
      </w:r>
    </w:p>
    <w:p>
      <w:pPr>
        <w:spacing w:before="0" w:after="34" w:line="247" w:lineRule="auto"/>
        <w:ind w:left="244" w:hanging="181"/>
      </w:pPr>
      <w:r>
        <w:rPr>
          <w:rFonts w:ascii="Arial" w:hAnsi="Arial"/>
          <w:b w:val="0"/>
          <w:i w:val="0"/>
          <w:color w:val="1F2937"/>
          <w:sz w:val="18"/>
        </w:rPr>
        <w:t>•  Coordinated a multi-country service redesign across Australia and Singapore, aligning operating roles, hand-offs and performance measures.</w:t>
      </w:r>
    </w:p>
    <w:p>
      <w:pPr>
        <w:spacing w:before="0" w:after="34" w:line="247" w:lineRule="auto"/>
        <w:ind w:left="244" w:hanging="181"/>
      </w:pPr>
      <w:r>
        <w:rPr>
          <w:rFonts w:ascii="Arial" w:hAnsi="Arial"/>
          <w:b w:val="0"/>
          <w:i w:val="0"/>
          <w:color w:val="1F2937"/>
          <w:sz w:val="18"/>
        </w:rPr>
        <w:t>•  Built dashboards and governance routines used in monthly leadership reviews to surface delivery risk, dependencies and customer-impact trends.</w:t>
      </w:r>
    </w:p>
    <w:p>
      <w:pPr>
        <w:spacing w:before="0" w:after="34" w:line="247" w:lineRule="auto"/>
        <w:ind w:left="244" w:hanging="181"/>
      </w:pPr>
      <w:r>
        <w:rPr>
          <w:rFonts w:ascii="Arial" w:hAnsi="Arial"/>
          <w:b w:val="0"/>
          <w:i w:val="0"/>
          <w:color w:val="1F2937"/>
          <w:sz w:val="18"/>
        </w:rPr>
        <w:t>•  Facilitated workshops with operations, technology and frontline teams to define requirements and support adoption of redesigned processes.</w:t>
      </w:r>
    </w:p>
    <w:p>
      <w:pPr>
        <w:keepNext/>
        <w:spacing w:before="80" w:after="20"/>
      </w:pPr>
      <w:r>
        <w:rPr>
          <w:rFonts w:ascii="Arial" w:hAnsi="Arial"/>
          <w:b/>
          <w:i w:val="0"/>
          <w:color w:val="163758"/>
          <w:sz w:val="19"/>
        </w:rPr>
        <w:t>Business Analyst | Eastpoint Group</w:t>
      </w:r>
      <w:r>
        <w:rPr>
          <w:rFonts w:ascii="Arial" w:hAnsi="Arial"/>
          <w:b w:val="0"/>
          <w:i w:val="0"/>
          <w:color w:val="5F6976"/>
          <w:sz w:val="18"/>
        </w:rPr>
        <w:t xml:space="preserve">  |  Sydney  |  2016-2018</w:t>
      </w:r>
    </w:p>
    <w:p>
      <w:pPr>
        <w:spacing w:before="0" w:after="34" w:line="247" w:lineRule="auto"/>
        <w:ind w:left="244" w:hanging="181"/>
      </w:pPr>
      <w:r>
        <w:rPr>
          <w:rFonts w:ascii="Arial" w:hAnsi="Arial"/>
          <w:b w:val="0"/>
          <w:i w:val="0"/>
          <w:color w:val="1F2937"/>
          <w:sz w:val="18"/>
        </w:rPr>
        <w:t>•  Gathered requirements and documented current- and future-state workflows for internal operations projects.</w:t>
      </w:r>
    </w:p>
    <w:p>
      <w:pPr>
        <w:spacing w:before="0" w:after="34" w:line="247" w:lineRule="auto"/>
        <w:ind w:left="244" w:hanging="181"/>
      </w:pPr>
      <w:r>
        <w:rPr>
          <w:rFonts w:ascii="Arial" w:hAnsi="Arial"/>
          <w:b w:val="0"/>
          <w:i w:val="0"/>
          <w:color w:val="1F2937"/>
          <w:sz w:val="18"/>
        </w:rPr>
        <w:t>•  Supported delivery planning, issue tracking and stakeholder updates across a portfolio of process-improvement initiatives.</w:t>
      </w:r>
    </w:p>
    <w:p>
      <w:pPr>
        <w:keepNext/>
        <w:spacing w:before="140" w:after="60"/>
        <w:pBdr>
          <w:bottom w:val="single" w:sz="4" w:space="5" w:color="C9D6E2"/>
        </w:pBdr>
      </w:pPr>
      <w:r>
        <w:rPr>
          <w:rFonts w:ascii="Arial" w:hAnsi="Arial"/>
          <w:b/>
          <w:i w:val="0"/>
          <w:color w:val="286796"/>
          <w:sz w:val="20"/>
        </w:rPr>
        <w:t>CORE SKILLS</w:t>
      </w:r>
    </w:p>
    <w:p>
      <w:pPr>
        <w:spacing w:before="0" w:after="40" w:line="252" w:lineRule="auto"/>
      </w:pPr>
      <w:r>
        <w:rPr>
          <w:rFonts w:ascii="Arial" w:hAnsi="Arial"/>
          <w:b w:val="0"/>
          <w:i w:val="0"/>
          <w:color w:val="1F2937"/>
          <w:sz w:val="18"/>
        </w:rPr>
        <w:t>Product operations | Digital transformation | Operating rhythm and governance | Customer onboarding | Journey and process mapping | Requirements analysis | Change adoption | Cross-functional facilitation | Portfolio reporting | Continuous improvement</w:t>
      </w:r>
    </w:p>
    <w:p>
      <w:pPr>
        <w:keepNext/>
        <w:spacing w:before="140" w:after="60"/>
        <w:pBdr>
          <w:bottom w:val="single" w:sz="4" w:space="5" w:color="C9D6E2"/>
        </w:pBdr>
      </w:pPr>
      <w:r>
        <w:rPr>
          <w:rFonts w:ascii="Arial" w:hAnsi="Arial"/>
          <w:b/>
          <w:i w:val="0"/>
          <w:color w:val="286796"/>
          <w:sz w:val="20"/>
        </w:rPr>
        <w:t>EDUCATION</w:t>
      </w:r>
    </w:p>
    <w:p>
      <w:pPr>
        <w:spacing w:after="20"/>
      </w:pPr>
      <w:r>
        <w:rPr>
          <w:rFonts w:ascii="Arial" w:hAnsi="Arial"/>
          <w:b/>
          <w:i w:val="0"/>
          <w:color w:val="163758"/>
          <w:sz w:val="19"/>
        </w:rPr>
        <w:t>Bachelor of Business</w:t>
      </w:r>
      <w:r>
        <w:rPr>
          <w:rFonts w:ascii="Arial" w:hAnsi="Arial"/>
          <w:b w:val="0"/>
          <w:i w:val="0"/>
          <w:color w:val="5F6976"/>
          <w:sz w:val="18"/>
        </w:rPr>
        <w:t xml:space="preserve">  |  Southern Coast University  |  2015</w:t>
      </w:r>
    </w:p>
    <w:sectPr w:rsidR="00FC693F" w:rsidRPr="0006063C" w:rsidSect="00034616">
      <w:footerReference w:type="default" r:id="rId9"/>
      <w:pgSz w:w="11906" w:h="16838"/>
      <w:pgMar w:top="765" w:right="879" w:bottom="709" w:left="879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color w:val="5F6976"/>
        <w:sz w:val="18"/>
      </w:rPr>
      <w:t>Synthetic Career Centre beta-test fixture - all information is fictional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Jordan Lee - Synthetic Career Centre Test CV</dc:title>
  <dc:subject>Fictional test fixture for Career Centre beta testing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