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reface-to-archived-manuscript"/>
    <w:p>
      <w:pPr>
        <w:pStyle w:val="Heading1"/>
      </w:pPr>
      <w:r>
        <w:t xml:space="preserve">PREFACE TO ARCHIVED MANUSCRIPT</w:t>
      </w:r>
    </w:p>
    <w:p>
      <w:pPr>
        <w:pStyle w:val="FirstParagraph"/>
      </w:pPr>
      <w:r>
        <w:rPr>
          <w:bCs/>
          <w:b/>
        </w:rPr>
        <w:t xml:space="preserve">Title:</w:t>
      </w:r>
      <w:r>
        <w:t xml:space="preserve"> </w:t>
      </w:r>
      <w:r>
        <w:t xml:space="preserve">Multi-Scale Quantum Error Correction Cosmology (MSQECC): A Theoretical Framework</w:t>
      </w:r>
    </w:p>
    <w:p>
      <w:pPr>
        <w:pStyle w:val="BodyText"/>
      </w:pPr>
      <w:r>
        <w:rPr>
          <w:bCs/>
          <w:b/>
        </w:rPr>
        <w:t xml:space="preserve">Author:</w:t>
      </w:r>
      <w:r>
        <w:t xml:space="preserve"> </w:t>
      </w:r>
      <w:r>
        <w:t xml:space="preserve">Jack Blessed Kimani Kaguri</w:t>
      </w:r>
    </w:p>
    <w:p>
      <w:pPr>
        <w:pStyle w:val="BodyText"/>
      </w:pPr>
      <w:r>
        <w:rPr>
          <w:bCs/>
          <w:b/>
        </w:rPr>
        <w:t xml:space="preserve">Date:</w:t>
      </w:r>
      <w:r>
        <w:t xml:space="preserve"> </w:t>
      </w:r>
      <w:r>
        <w:t xml:space="preserve">February 2026</w:t>
      </w:r>
    </w:p>
    <w:p>
      <w:pPr>
        <w:pStyle w:val="BodyText"/>
      </w:pPr>
      <w:r>
        <w:rPr>
          <w:bCs/>
          <w:b/>
        </w:rPr>
        <w:t xml:space="preserve">Status:</w:t>
      </w:r>
      <w:r>
        <w:t xml:space="preserve"> </w:t>
      </w:r>
      <w:r>
        <w:t xml:space="preserve">Archived theoretical framework for future development</w:t>
      </w:r>
    </w:p>
    <w:p>
      <w:r>
        <w:pict>
          <v:rect style="width:0;height:1.5pt" o:hralign="center" o:hrstd="t" o:hr="t"/>
        </w:pict>
      </w:r>
    </w:p>
    <w:bookmarkStart w:id="20" w:name="purpose-of-this-document"/>
    <w:p>
      <w:pPr>
        <w:pStyle w:val="Heading2"/>
      </w:pPr>
      <w:r>
        <w:t xml:space="preserve">Purpose of This Document</w:t>
      </w:r>
    </w:p>
    <w:p>
      <w:pPr>
        <w:pStyle w:val="FirstParagraph"/>
      </w:pPr>
      <w:r>
        <w:t xml:space="preserve">This manuscript presents a conceptual framework extending quantum error correction principles from AdS/CFT correspondence to general cosmological settings. The work synthesizes insights from holographic duality, quantum information theory, and observational cosmology into a unified theoretical structure.</w:t>
      </w:r>
    </w:p>
    <w:bookmarkEnd w:id="20"/>
    <w:bookmarkStart w:id="24" w:name="current-limitations"/>
    <w:p>
      <w:pPr>
        <w:pStyle w:val="Heading2"/>
      </w:pPr>
      <w:r>
        <w:t xml:space="preserve">Current Limitations</w:t>
      </w:r>
    </w:p>
    <w:p>
      <w:pPr>
        <w:pStyle w:val="FirstParagraph"/>
      </w:pPr>
      <w:r>
        <w:t xml:space="preserve">This version contains several conjectures and open problems that require substantial further development before publication in a peer-reviewed physics journal:</w:t>
      </w:r>
    </w:p>
    <w:bookmarkStart w:id="21" w:name="mathematical-rigor-required"/>
    <w:p>
      <w:pPr>
        <w:pStyle w:val="Heading3"/>
      </w:pPr>
      <w:r>
        <w:t xml:space="preserve">Mathematical Rigor Required:</w:t>
      </w:r>
    </w:p>
    <w:p>
      <w:pPr>
        <w:numPr>
          <w:ilvl w:val="0"/>
          <w:numId w:val="1001"/>
        </w:numPr>
        <w:pStyle w:val="Compact"/>
      </w:pPr>
      <w:r>
        <w:rPr>
          <w:bCs/>
          <w:b/>
        </w:rPr>
        <w:t xml:space="preserve">Master Equation (Equation 6):</w:t>
      </w:r>
      <w:r>
        <w:t xml:space="preserve"> </w:t>
      </w:r>
      <w:r>
        <w:t xml:space="preserve">The variational principle</w:t>
      </w:r>
      <w:r>
        <w:t xml:space="preserve"> </w:t>
      </w:r>
      <w:r>
        <w:rPr>
          <w:rStyle w:val="VerbatimChar"/>
        </w:rPr>
        <w:t xml:space="preserve">argmax d_QECC(ψ) subject to Ĥ|ψ⟩ = 0</w:t>
      </w:r>
      <w:r>
        <w:t xml:space="preserve"> </w:t>
      </w:r>
      <w:r>
        <w:t xml:space="preserve">requires:</w:t>
      </w:r>
    </w:p>
    <w:p>
      <w:pPr>
        <w:numPr>
          <w:ilvl w:val="1"/>
          <w:numId w:val="1002"/>
        </w:numPr>
        <w:pStyle w:val="Compact"/>
      </w:pPr>
      <w:r>
        <w:t xml:space="preserve">Proof of existence and uniqueness of maximizer</w:t>
      </w:r>
    </w:p>
    <w:p>
      <w:pPr>
        <w:numPr>
          <w:ilvl w:val="1"/>
          <w:numId w:val="1002"/>
        </w:numPr>
        <w:pStyle w:val="Compact"/>
      </w:pPr>
      <w:r>
        <w:t xml:space="preserve">Specification of topology and measure on the physical Hilbert space</w:t>
      </w:r>
    </w:p>
    <w:p>
      <w:pPr>
        <w:numPr>
          <w:ilvl w:val="1"/>
          <w:numId w:val="1002"/>
        </w:numPr>
        <w:pStyle w:val="Compact"/>
      </w:pPr>
      <w:r>
        <w:t xml:space="preserve">Derivation of monotonicity condition from assumed dynamics</w:t>
      </w:r>
    </w:p>
    <w:p>
      <w:pPr>
        <w:numPr>
          <w:ilvl w:val="1"/>
          <w:numId w:val="1002"/>
        </w:numPr>
        <w:pStyle w:val="Compact"/>
      </w:pPr>
      <w:r>
        <w:t xml:space="preserve">Functional analysis establishing well-posedness</w:t>
      </w:r>
    </w:p>
    <w:p>
      <w:pPr>
        <w:numPr>
          <w:ilvl w:val="0"/>
          <w:numId w:val="1001"/>
        </w:numPr>
        <w:pStyle w:val="Compact"/>
      </w:pPr>
      <w:r>
        <w:rPr>
          <w:bCs/>
          <w:b/>
        </w:rPr>
        <w:t xml:space="preserve">Distance Metric (Equation 7 &amp; Appendix A):</w:t>
      </w:r>
      <w:r>
        <w:t xml:space="preserve"> </w:t>
      </w:r>
      <w:r>
        <w:t xml:space="preserve">The code distance d_QECC requires:</w:t>
      </w:r>
    </w:p>
    <w:p>
      <w:pPr>
        <w:numPr>
          <w:ilvl w:val="1"/>
          <w:numId w:val="1003"/>
        </w:numPr>
        <w:pStyle w:val="Compact"/>
      </w:pPr>
      <w:r>
        <w:t xml:space="preserve">Precise definition via lattice regularization of QFT</w:t>
      </w:r>
    </w:p>
    <w:p>
      <w:pPr>
        <w:numPr>
          <w:ilvl w:val="1"/>
          <w:numId w:val="1003"/>
        </w:numPr>
        <w:pStyle w:val="Compact"/>
      </w:pPr>
      <w:r>
        <w:t xml:space="preserve">Careful continuum limit construction</w:t>
      </w:r>
    </w:p>
    <w:p>
      <w:pPr>
        <w:numPr>
          <w:ilvl w:val="1"/>
          <w:numId w:val="1003"/>
        </w:numPr>
        <w:pStyle w:val="Compact"/>
      </w:pPr>
      <w:r>
        <w:t xml:space="preserve">Connection to algebraic QFT local observable algebras</w:t>
      </w:r>
    </w:p>
    <w:p>
      <w:pPr>
        <w:numPr>
          <w:ilvl w:val="1"/>
          <w:numId w:val="1003"/>
        </w:numPr>
        <w:pStyle w:val="Compact"/>
      </w:pPr>
      <w:r>
        <w:t xml:space="preserve">Explicit limiting procedure from finite to infinite degrees of freedom</w:t>
      </w:r>
    </w:p>
    <w:p>
      <w:pPr>
        <w:numPr>
          <w:ilvl w:val="0"/>
          <w:numId w:val="1001"/>
        </w:numPr>
        <w:pStyle w:val="Compact"/>
      </w:pPr>
      <w:r>
        <w:rPr>
          <w:bCs/>
          <w:b/>
        </w:rPr>
        <w:t xml:space="preserve">Dark Matter Prediction (Equation 9):</w:t>
      </w:r>
      <w:r>
        <w:t xml:space="preserve"> </w:t>
      </w:r>
      <w:r>
        <w:t xml:space="preserve">The entanglement stress-energy claim requires:</w:t>
      </w:r>
    </w:p>
    <w:p>
      <w:pPr>
        <w:numPr>
          <w:ilvl w:val="1"/>
          <w:numId w:val="1004"/>
        </w:numPr>
        <w:pStyle w:val="Compact"/>
      </w:pPr>
      <w:r>
        <w:t xml:space="preserve">Worked calculation with explicit entanglement kernel</w:t>
      </w:r>
    </w:p>
    <w:p>
      <w:pPr>
        <w:numPr>
          <w:ilvl w:val="1"/>
          <w:numId w:val="1004"/>
        </w:numPr>
        <w:pStyle w:val="Compact"/>
      </w:pPr>
      <w:r>
        <w:t xml:space="preserve">Demonstration that rotation curves emerge without free parameters</w:t>
      </w:r>
    </w:p>
    <w:p>
      <w:pPr>
        <w:numPr>
          <w:ilvl w:val="1"/>
          <w:numId w:val="1004"/>
        </w:numPr>
        <w:pStyle w:val="Compact"/>
      </w:pPr>
      <w:r>
        <w:t xml:space="preserve">Toy model showing spherical symmetry case</w:t>
      </w:r>
    </w:p>
    <w:p>
      <w:pPr>
        <w:numPr>
          <w:ilvl w:val="1"/>
          <w:numId w:val="1004"/>
        </w:numPr>
        <w:pStyle w:val="Compact"/>
      </w:pPr>
      <w:r>
        <w:t xml:space="preserve">Connection to existing semiclassical Einstein equation approaches</w:t>
      </w:r>
    </w:p>
    <w:p>
      <w:pPr>
        <w:numPr>
          <w:ilvl w:val="0"/>
          <w:numId w:val="1001"/>
        </w:numPr>
        <w:pStyle w:val="Compact"/>
      </w:pPr>
      <w:r>
        <w:rPr>
          <w:bCs/>
          <w:b/>
        </w:rPr>
        <w:t xml:space="preserve">Dark Energy Prediction (Equation 10):</w:t>
      </w:r>
      <w:r>
        <w:t xml:space="preserve"> </w:t>
      </w:r>
      <w:r>
        <w:t xml:space="preserve">The QECC overhead mechanism requires:</w:t>
      </w:r>
    </w:p>
    <w:p>
      <w:pPr>
        <w:numPr>
          <w:ilvl w:val="1"/>
          <w:numId w:val="1005"/>
        </w:numPr>
        <w:pStyle w:val="Compact"/>
      </w:pPr>
      <w:r>
        <w:t xml:space="preserve">Careful dimensional analysis and unit verification</w:t>
      </w:r>
    </w:p>
    <w:p>
      <w:pPr>
        <w:numPr>
          <w:ilvl w:val="1"/>
          <w:numId w:val="1005"/>
        </w:numPr>
        <w:pStyle w:val="Compact"/>
      </w:pPr>
      <w:r>
        <w:t xml:space="preserve">Explicit definition of dS_total/dt (horizon entropy vs comoving volume)</w:t>
      </w:r>
    </w:p>
    <w:p>
      <w:pPr>
        <w:numPr>
          <w:ilvl w:val="1"/>
          <w:numId w:val="1005"/>
        </w:numPr>
        <w:pStyle w:val="Compact"/>
      </w:pPr>
      <w:r>
        <w:t xml:space="preserve">Derivation of spatial dependence from local baryon density</w:t>
      </w:r>
    </w:p>
    <w:p>
      <w:pPr>
        <w:numPr>
          <w:ilvl w:val="0"/>
          <w:numId w:val="1001"/>
        </w:numPr>
        <w:pStyle w:val="Compact"/>
      </w:pPr>
      <w:r>
        <w:rPr>
          <w:bCs/>
          <w:b/>
        </w:rPr>
        <w:t xml:space="preserve">Matter-Antimatter Asymmetry (Section 5.4):</w:t>
      </w:r>
      <w:r>
        <w:t xml:space="preserve"> </w:t>
      </w:r>
      <w:r>
        <w:t xml:space="preserve">The self-reference mechanism requires:</w:t>
      </w:r>
    </w:p>
    <w:p>
      <w:pPr>
        <w:numPr>
          <w:ilvl w:val="1"/>
          <w:numId w:val="1006"/>
        </w:numPr>
        <w:pStyle w:val="Compact"/>
      </w:pPr>
      <w:r>
        <w:t xml:space="preserve">Connection to Sakharov conditions</w:t>
      </w:r>
    </w:p>
    <w:p>
      <w:pPr>
        <w:numPr>
          <w:ilvl w:val="1"/>
          <w:numId w:val="1006"/>
        </w:numPr>
        <w:pStyle w:val="Compact"/>
      </w:pPr>
      <w:r>
        <w:t xml:space="preserve">Derivation showing how QECC provides out-of-equilibrium dynamics</w:t>
      </w:r>
    </w:p>
    <w:p>
      <w:pPr>
        <w:numPr>
          <w:ilvl w:val="1"/>
          <w:numId w:val="1006"/>
        </w:numPr>
        <w:pStyle w:val="Compact"/>
      </w:pPr>
      <w:r>
        <w:t xml:space="preserve">Mapping from Jarlskog invariant to asymmetry under QECC constraint</w:t>
      </w:r>
    </w:p>
    <w:p>
      <w:pPr>
        <w:numPr>
          <w:ilvl w:val="0"/>
          <w:numId w:val="1001"/>
        </w:numPr>
        <w:pStyle w:val="Compact"/>
      </w:pPr>
      <w:r>
        <w:rPr>
          <w:bCs/>
          <w:b/>
        </w:rPr>
        <w:t xml:space="preserve">Born Rule Emergence (Equation 12):</w:t>
      </w:r>
      <w:r>
        <w:t xml:space="preserve"> </w:t>
      </w:r>
      <w:r>
        <w:t xml:space="preserve">The logical space fraction approach requires:</w:t>
      </w:r>
    </w:p>
    <w:p>
      <w:pPr>
        <w:numPr>
          <w:ilvl w:val="1"/>
          <w:numId w:val="1007"/>
        </w:numPr>
        <w:pStyle w:val="Compact"/>
      </w:pPr>
      <w:r>
        <w:t xml:space="preserve">Precise definition of measure on logical space</w:t>
      </w:r>
    </w:p>
    <w:p>
      <w:pPr>
        <w:numPr>
          <w:ilvl w:val="1"/>
          <w:numId w:val="1007"/>
        </w:numPr>
        <w:pStyle w:val="Compact"/>
      </w:pPr>
      <w:r>
        <w:t xml:space="preserve">Proof that this measure reproduces Born measure</w:t>
      </w:r>
    </w:p>
    <w:p>
      <w:pPr>
        <w:numPr>
          <w:ilvl w:val="1"/>
          <w:numId w:val="1007"/>
        </w:numPr>
        <w:pStyle w:val="Compact"/>
      </w:pPr>
      <w:r>
        <w:t xml:space="preserve">Connection to Deutsch/Wallace decision-theoretic approaches</w:t>
      </w:r>
    </w:p>
    <w:p>
      <w:pPr>
        <w:numPr>
          <w:ilvl w:val="0"/>
          <w:numId w:val="1001"/>
        </w:numPr>
        <w:pStyle w:val="Compact"/>
      </w:pPr>
      <w:r>
        <w:rPr>
          <w:bCs/>
          <w:b/>
        </w:rPr>
        <w:t xml:space="preserve">Constants from Self-Consistency (Section 6.6):</w:t>
      </w:r>
      <w:r>
        <w:t xml:space="preserve"> </w:t>
      </w:r>
      <w:r>
        <w:t xml:space="preserve">The coupling emergence requires:</w:t>
      </w:r>
    </w:p>
    <w:p>
      <w:pPr>
        <w:numPr>
          <w:ilvl w:val="1"/>
          <w:numId w:val="1008"/>
        </w:numPr>
        <w:pStyle w:val="Compact"/>
      </w:pPr>
      <w:r>
        <w:t xml:space="preserve">Explicit self-consistency equations</w:t>
      </w:r>
    </w:p>
    <w:p>
      <w:pPr>
        <w:numPr>
          <w:ilvl w:val="1"/>
          <w:numId w:val="1008"/>
        </w:numPr>
        <w:pStyle w:val="Compact"/>
      </w:pPr>
      <w:r>
        <w:t xml:space="preserve">Toy model demonstrating joint eigenvalue structure</w:t>
      </w:r>
    </w:p>
    <w:p>
      <w:pPr>
        <w:numPr>
          <w:ilvl w:val="1"/>
          <w:numId w:val="1008"/>
        </w:numPr>
        <w:pStyle w:val="Compact"/>
      </w:pPr>
      <w:r>
        <w:t xml:space="preserve">Renormalization group analysis</w:t>
      </w:r>
    </w:p>
    <w:bookmarkEnd w:id="21"/>
    <w:bookmarkStart w:id="22" w:name="experimental-validation-required"/>
    <w:p>
      <w:pPr>
        <w:pStyle w:val="Heading3"/>
      </w:pPr>
      <w:r>
        <w:t xml:space="preserve">Experimental Validation Required:</w:t>
      </w:r>
    </w:p>
    <w:p>
      <w:pPr>
        <w:pStyle w:val="FirstParagraph"/>
      </w:pPr>
      <w:r>
        <w:t xml:space="preserve">All testable predictions (Planck-scale corrections to Born rule, topological QECC in biological systems, dark matter/energy spatial variations) require:</w:t>
      </w:r>
      <w:r>
        <w:t xml:space="preserve"> </w:t>
      </w:r>
      <w:r>
        <w:t xml:space="preserve">- Explicit computational protocols</w:t>
      </w:r>
      <w:r>
        <w:t xml:space="preserve"> </w:t>
      </w:r>
      <w:r>
        <w:t xml:space="preserve">- Identification of measurable signatures</w:t>
      </w:r>
      <w:r>
        <w:t xml:space="preserve"> </w:t>
      </w:r>
      <w:r>
        <w:t xml:space="preserve">- Connection to existing experimental capabilities</w:t>
      </w:r>
      <w:r>
        <w:t xml:space="preserve"> </w:t>
      </w:r>
      <w:r>
        <w:t xml:space="preserve">- Error analysis and signal-to-noise estimates</w:t>
      </w:r>
    </w:p>
    <w:bookmarkEnd w:id="22"/>
    <w:bookmarkStart w:id="23" w:name="institutional-development-path"/>
    <w:p>
      <w:pPr>
        <w:pStyle w:val="Heading3"/>
      </w:pPr>
      <w:r>
        <w:t xml:space="preserve">Institutional Development Path:</w:t>
      </w:r>
    </w:p>
    <w:p>
      <w:pPr>
        <w:pStyle w:val="FirstParagraph"/>
      </w:pPr>
      <w:r>
        <w:t xml:space="preserve">This work is being archived with the intention to:</w:t>
      </w:r>
    </w:p>
    <w:p>
      <w:pPr>
        <w:numPr>
          <w:ilvl w:val="0"/>
          <w:numId w:val="1009"/>
        </w:numPr>
      </w:pPr>
      <w:r>
        <w:rPr>
          <w:bCs/>
          <w:b/>
        </w:rPr>
        <w:t xml:space="preserve">Complete mathematical foundations</w:t>
      </w:r>
      <w:r>
        <w:t xml:space="preserve"> </w:t>
      </w:r>
      <w:r>
        <w:t xml:space="preserve">through collaboration with mathematical physicists and quantum information theorists</w:t>
      </w:r>
    </w:p>
    <w:p>
      <w:pPr>
        <w:numPr>
          <w:ilvl w:val="0"/>
          <w:numId w:val="1009"/>
        </w:numPr>
      </w:pPr>
      <w:r>
        <w:rPr>
          <w:bCs/>
          <w:b/>
        </w:rPr>
        <w:t xml:space="preserve">Develop explicit calculations</w:t>
      </w:r>
      <w:r>
        <w:t xml:space="preserve"> </w:t>
      </w:r>
      <w:r>
        <w:t xml:space="preserve">for all claimed parameter-free predictions</w:t>
      </w:r>
    </w:p>
    <w:p>
      <w:pPr>
        <w:numPr>
          <w:ilvl w:val="0"/>
          <w:numId w:val="1009"/>
        </w:numPr>
      </w:pPr>
      <w:r>
        <w:rPr>
          <w:bCs/>
          <w:b/>
        </w:rPr>
        <w:t xml:space="preserve">Establish experimental validation program</w:t>
      </w:r>
      <w:r>
        <w:t xml:space="preserve"> </w:t>
      </w:r>
      <w:r>
        <w:t xml:space="preserve">in collaboration with quantum optics, quantum biology, and cosmological observation groups</w:t>
      </w:r>
    </w:p>
    <w:p>
      <w:pPr>
        <w:numPr>
          <w:ilvl w:val="0"/>
          <w:numId w:val="1009"/>
        </w:numPr>
      </w:pPr>
      <w:r>
        <w:rPr>
          <w:bCs/>
          <w:b/>
        </w:rPr>
        <w:t xml:space="preserve">Publish with institutional affiliation</w:t>
      </w:r>
      <w:r>
        <w:t xml:space="preserve"> </w:t>
      </w:r>
      <w:r>
        <w:t xml:space="preserve">after acquiring research position (target: 2027-2028)</w:t>
      </w:r>
    </w:p>
    <w:bookmarkEnd w:id="23"/>
    <w:bookmarkEnd w:id="24"/>
    <w:bookmarkStart w:id="25" w:name="what-this-document-contains"/>
    <w:p>
      <w:pPr>
        <w:pStyle w:val="Heading2"/>
      </w:pPr>
      <w:r>
        <w:t xml:space="preserve">What This Document Contains</w:t>
      </w:r>
    </w:p>
    <w:p>
      <w:pPr>
        <w:pStyle w:val="FirstParagraph"/>
      </w:pPr>
      <w:r>
        <w:t xml:space="preserve">Despite these limitations, this manuscript presents:</w:t>
      </w:r>
    </w:p>
    <w:p>
      <w:pPr>
        <w:numPr>
          <w:ilvl w:val="0"/>
          <w:numId w:val="1010"/>
        </w:numPr>
        <w:pStyle w:val="Compact"/>
      </w:pPr>
      <w:r>
        <w:rPr>
          <w:bCs/>
          <w:b/>
        </w:rPr>
        <w:t xml:space="preserve">Conceptual synthesis</w:t>
      </w:r>
      <w:r>
        <w:t xml:space="preserve"> </w:t>
      </w:r>
      <w:r>
        <w:t xml:space="preserve">showing quantum error correction may provide unified framework for cosmological phenomena</w:t>
      </w:r>
    </w:p>
    <w:p>
      <w:pPr>
        <w:numPr>
          <w:ilvl w:val="0"/>
          <w:numId w:val="1010"/>
        </w:numPr>
        <w:pStyle w:val="Compact"/>
      </w:pPr>
      <w:r>
        <w:rPr>
          <w:bCs/>
          <w:b/>
        </w:rPr>
        <w:t xml:space="preserve">Novel hypotheses</w:t>
      </w:r>
      <w:r>
        <w:t xml:space="preserve"> </w:t>
      </w:r>
      <w:r>
        <w:t xml:space="preserve">connecting dark matter, dark energy, fine structure constant, and baryon asymmetry to information-theoretic principles</w:t>
      </w:r>
    </w:p>
    <w:p>
      <w:pPr>
        <w:numPr>
          <w:ilvl w:val="0"/>
          <w:numId w:val="1010"/>
        </w:numPr>
        <w:pStyle w:val="Compact"/>
      </w:pPr>
      <w:r>
        <w:rPr>
          <w:bCs/>
          <w:b/>
        </w:rPr>
        <w:t xml:space="preserve">Preliminary physical intuition</w:t>
      </w:r>
      <w:r>
        <w:t xml:space="preserve"> </w:t>
      </w:r>
      <w:r>
        <w:t xml:space="preserve">suggesting directions for future rigorous investigation</w:t>
      </w:r>
    </w:p>
    <w:p>
      <w:pPr>
        <w:numPr>
          <w:ilvl w:val="0"/>
          <w:numId w:val="1010"/>
        </w:numPr>
        <w:pStyle w:val="Compact"/>
      </w:pPr>
      <w:r>
        <w:rPr>
          <w:bCs/>
          <w:b/>
        </w:rPr>
        <w:t xml:space="preserve">Open problems</w:t>
      </w:r>
      <w:r>
        <w:t xml:space="preserve"> </w:t>
      </w:r>
      <w:r>
        <w:t xml:space="preserve">(six enumerated) defining concrete research program</w:t>
      </w:r>
    </w:p>
    <w:bookmarkEnd w:id="25"/>
    <w:bookmarkStart w:id="26" w:name="philosophical-sections"/>
    <w:p>
      <w:pPr>
        <w:pStyle w:val="Heading2"/>
      </w:pPr>
      <w:r>
        <w:t xml:space="preserve">Philosophical Sections</w:t>
      </w:r>
    </w:p>
    <w:p>
      <w:pPr>
        <w:pStyle w:val="FirstParagraph"/>
      </w:pPr>
      <w:r>
        <w:t xml:space="preserve">Section 8.4 on consciousness and persistence of information patterns represents speculative philosophical implications beyond the physical framework. This section explores possible interpretations but does not claim to derive consciousness from physics.</w:t>
      </w:r>
    </w:p>
    <w:bookmarkEnd w:id="26"/>
    <w:bookmarkStart w:id="27" w:name="intended-use"/>
    <w:p>
      <w:pPr>
        <w:pStyle w:val="Heading2"/>
      </w:pPr>
      <w:r>
        <w:t xml:space="preserve">Intended Use</w:t>
      </w:r>
    </w:p>
    <w:p>
      <w:pPr>
        <w:pStyle w:val="FirstParagraph"/>
      </w:pPr>
      <w:r>
        <w:t xml:space="preserve">This document serves as:</w:t>
      </w:r>
    </w:p>
    <w:p>
      <w:pPr>
        <w:numPr>
          <w:ilvl w:val="0"/>
          <w:numId w:val="1011"/>
        </w:numPr>
        <w:pStyle w:val="Compact"/>
      </w:pPr>
      <w:r>
        <w:rPr>
          <w:bCs/>
          <w:b/>
        </w:rPr>
        <w:t xml:space="preserve">Personal research archive</w:t>
      </w:r>
      <w:r>
        <w:t xml:space="preserve"> </w:t>
      </w:r>
      <w:r>
        <w:t xml:space="preserve">documenting theoretical development as of February 2026</w:t>
      </w:r>
    </w:p>
    <w:p>
      <w:pPr>
        <w:numPr>
          <w:ilvl w:val="0"/>
          <w:numId w:val="1011"/>
        </w:numPr>
        <w:pStyle w:val="Compact"/>
      </w:pPr>
      <w:r>
        <w:rPr>
          <w:bCs/>
          <w:b/>
        </w:rPr>
        <w:t xml:space="preserve">Portfolio demonstration</w:t>
      </w:r>
      <w:r>
        <w:t xml:space="preserve"> </w:t>
      </w:r>
      <w:r>
        <w:t xml:space="preserve">of synthetic thinking across quantum information, cosmology, and foundations</w:t>
      </w:r>
    </w:p>
    <w:p>
      <w:pPr>
        <w:numPr>
          <w:ilvl w:val="0"/>
          <w:numId w:val="1011"/>
        </w:numPr>
        <w:pStyle w:val="Compact"/>
      </w:pPr>
      <w:r>
        <w:rPr>
          <w:bCs/>
          <w:b/>
        </w:rPr>
        <w:t xml:space="preserve">Future research foundation</w:t>
      </w:r>
      <w:r>
        <w:t xml:space="preserve"> </w:t>
      </w:r>
      <w:r>
        <w:t xml:space="preserve">to be expanded with institutional collaboration</w:t>
      </w:r>
    </w:p>
    <w:p>
      <w:pPr>
        <w:numPr>
          <w:ilvl w:val="0"/>
          <w:numId w:val="1011"/>
        </w:numPr>
        <w:pStyle w:val="Compact"/>
      </w:pPr>
      <w:r>
        <w:rPr>
          <w:bCs/>
          <w:b/>
        </w:rPr>
        <w:t xml:space="preserve">Conceptual roadmap</w:t>
      </w:r>
      <w:r>
        <w:t xml:space="preserve"> </w:t>
      </w:r>
      <w:r>
        <w:t xml:space="preserve">for long-term research program</w:t>
      </w:r>
    </w:p>
    <w:p>
      <w:pPr>
        <w:pStyle w:val="FirstParagraph"/>
      </w:pPr>
      <w:r>
        <w:t xml:space="preserve">This is</w:t>
      </w:r>
      <w:r>
        <w:t xml:space="preserve"> </w:t>
      </w:r>
      <w:r>
        <w:rPr>
          <w:bCs/>
          <w:b/>
        </w:rPr>
        <w:t xml:space="preserve">not</w:t>
      </w:r>
      <w:r>
        <w:t xml:space="preserve"> </w:t>
      </w:r>
      <w:r>
        <w:t xml:space="preserve">intended as:</w:t>
      </w:r>
      <w:r>
        <w:t xml:space="preserve"> </w:t>
      </w:r>
      <w:r>
        <w:t xml:space="preserve">- A complete, peer-review-ready manuscript</w:t>
      </w:r>
      <w:r>
        <w:t xml:space="preserve"> </w:t>
      </w:r>
      <w:r>
        <w:t xml:space="preserve">- A claim of priority over any results</w:t>
      </w:r>
      <w:r>
        <w:t xml:space="preserve"> </w:t>
      </w:r>
      <w:r>
        <w:t xml:space="preserve">- A final statement of author’s views on these topics</w:t>
      </w:r>
    </w:p>
    <w:p>
      <w:r>
        <w:pict>
          <v:rect style="width:0;height:1.5pt" o:hralign="center" o:hrstd="t" o:hr="t"/>
        </w:pict>
      </w:r>
    </w:p>
    <w:bookmarkEnd w:id="27"/>
    <w:bookmarkStart w:id="28" w:name="acknowledgment"/>
    <w:p>
      <w:pPr>
        <w:pStyle w:val="Heading2"/>
      </w:pPr>
      <w:r>
        <w:t xml:space="preserve">Acknowledgment</w:t>
      </w:r>
    </w:p>
    <w:p>
      <w:pPr>
        <w:pStyle w:val="FirstParagraph"/>
      </w:pPr>
      <w:r>
        <w:t xml:space="preserve">This theoretical framework emerged from sustained study across multiple domains while maintaining day employment. The author recognizes that transforming these ideas into rigorous physics requires institutional resources, experimental collaboration, and years of focused technical development.</w:t>
      </w:r>
    </w:p>
    <w:p>
      <w:pPr>
        <w:pStyle w:val="BodyText"/>
      </w:pPr>
      <w:r>
        <w:t xml:space="preserve">The framework is presented in its current incomplete form to document the conceptual architecture before undertaking practical healthcare informatics work in Germany (2026-2028), with intention to return to these problems with appropriate institutional support.</w:t>
      </w:r>
    </w:p>
    <w:p>
      <w:r>
        <w:pict>
          <v:rect style="width:0;height:1.5pt" o:hralign="center" o:hrstd="t" o:hr="t"/>
        </w:pict>
      </w:r>
    </w:p>
    <w:p>
      <w:pPr>
        <w:pStyle w:val="FirstParagraph"/>
      </w:pPr>
      <w:r>
        <w:rPr>
          <w:bCs/>
          <w:b/>
        </w:rPr>
        <w:t xml:space="preserve">Jack Blessed Kimani Kaguri</w:t>
      </w:r>
      <w:r>
        <w:br/>
      </w:r>
      <w:r>
        <w:t xml:space="preserve">Nairobi, Kenya</w:t>
      </w:r>
      <w:r>
        <w:br/>
      </w:r>
      <w:r>
        <w:t xml:space="preserve">February 2026</w:t>
      </w:r>
    </w:p>
    <w:p>
      <w:r>
        <w:pict>
          <v:rect style="width:0;height:1.5pt" o:hralign="center" o:hrstd="t" o:hr="t"/>
        </w:pict>
      </w:r>
    </w:p>
    <w:p>
      <w:pPr>
        <w:pStyle w:val="FirstParagraph"/>
      </w:pPr>
      <w:r>
        <w:rPr>
          <w:iCs/>
          <w:i/>
        </w:rPr>
        <w:t xml:space="preserve">“</w:t>
      </w:r>
      <w:r>
        <w:rPr>
          <w:iCs/>
          <w:i/>
        </w:rPr>
        <w:t xml:space="preserve">The pattern persists beyond the substrate. This work documents the pattern at this moment in time. The rigorous development persists as future work.</w:t>
      </w:r>
      <w:r>
        <w:rPr>
          <w:iCs/>
          <w:i/>
        </w:rPr>
        <w:t xml:space="preserve">”</w:t>
      </w:r>
    </w:p>
    <w:p>
      <w:r>
        <w:pict>
          <v:rect style="width:0;height:1.5pt" o:hralign="center" o:hrstd="t" o:hr="t"/>
        </w:pict>
      </w:r>
    </w:p>
    <w:bookmarkEnd w:id="28"/>
    <w:bookmarkStart w:id="29" w:name="proceed-to-manuscript"/>
    <w:p>
      <w:pPr>
        <w:pStyle w:val="Heading2"/>
      </w:pPr>
      <w:r>
        <w:t xml:space="preserve">PROCEED TO MANUSCRIPT</w:t>
      </w:r>
    </w:p>
    <w:p>
      <w:pPr>
        <w:pStyle w:val="FirstParagraph"/>
      </w:pPr>
      <w:r>
        <w:t xml:space="preserve">[ChatGPT’s cleaned version follows after this preface]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2026-02-24T04:26:53Z</dcterms:created>
  <dcterms:modified xsi:type="dcterms:W3CDTF">2026-02-24T04:26:53Z</dcterms:modified>
</cp:coreProperties>
</file>

<file path=docProps/custom.xml><?xml version="1.0" encoding="utf-8"?>
<Properties xmlns="http://schemas.openxmlformats.org/officeDocument/2006/custom-properties" xmlns:vt="http://schemas.openxmlformats.org/officeDocument/2006/docPropsVTypes"/>
</file>