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40"/>
        <w:jc w:val="center"/>
      </w:pPr>
      <w:r>
        <w:rPr>
          <w:rFonts w:ascii="Cambria" w:hAnsi="Cambria"/>
          <w:b/>
          <w:color w:val="16324F"/>
          <w:sz w:val="48"/>
        </w:rPr>
        <w:t>Algebraic Failure Modes of T3-Based QECC Cosmology</w:t>
      </w:r>
    </w:p>
    <w:p>
      <w:pPr>
        <w:spacing w:after="80"/>
        <w:jc w:val="center"/>
      </w:pPr>
      <w:r>
        <w:rPr>
          <w:rFonts w:ascii="Cambria" w:hAnsi="Cambria"/>
          <w:i/>
          <w:color w:val="6B7280"/>
          <w:sz w:val="22"/>
        </w:rPr>
        <w:t>Corrected audit export</w:t>
      </w:r>
    </w:p>
    <w:p>
      <w:pPr>
        <w:spacing w:after="360"/>
        <w:jc w:val="center"/>
      </w:pPr>
      <w:r>
        <w:rPr>
          <w:rFonts w:ascii="Cambria" w:hAnsi="Cambria"/>
          <w:color w:val="6B7280"/>
          <w:sz w:val="21"/>
        </w:rPr>
        <w:t>March 10, 2026</w:t>
      </w:r>
    </w:p>
    <w:p>
      <w:pPr>
        <w:spacing w:after="0"/>
        <w:ind w:left="1440" w:right="1440"/>
        <w:jc w:val="center"/>
      </w:pPr>
      <w:r>
        <w:rPr>
          <w:rFonts w:ascii="Cambria" w:hAnsi="Cambria"/>
          <w:color w:val="384452"/>
          <w:sz w:val="20"/>
        </w:rPr>
        <w:t>Presentation edition prepared from independently rerun scripts and live verification tests.</w:t>
      </w:r>
    </w:p>
    <w:p>
      <w:r>
        <w:br w:type="page"/>
      </w:r>
    </w:p>
    <w:p>
      <w:pPr>
        <w:jc w:val="both"/>
      </w:pPr>
      <w:r>
        <w:t>Technical Note</w:t>
      </w:r>
    </w:p>
    <w:p>
      <w:pPr>
        <w:pStyle w:val="Heading2"/>
      </w:pPr>
      <w:r>
        <w:t>Abstract</w:t>
      </w:r>
    </w:p>
    <w:p>
      <w:pPr>
        <w:jc w:val="both"/>
      </w:pPr>
      <w:r>
        <w:t>QECC-based cosmology proposals often fail in one of two ways: either they never specify the algebraic objects needed by their flagship claims, or they move from suggestive topology to physical conclusion without a defined map between the two. This note records the failure structure of the present MSQECC programme at the algebra level. The mathematical backbone is fixed to the standard Z2 toric code on T^3, whose stabilizer algebra and finite-size encoded-qubit count are explicit. Against that backbone, the note audits the claims k = 3pi, inverse-square idle-noise correlations, the fine-structure coincidence 4pi^3 + pi^2 + pi, cosmological-constant suppression by code rate, and the identification of three encoded qubits with three fermion generations. In every case, the immediate obstruction is not a failed final number but an earlier gap: a missing definitional object, a missing computation, or a logical jump between non-equivalent structures. The resulting diagnosis is precise. The programme has a real topological code skeleton and a real galaxy phenomenology result, but it still lacks the matter-coupling map required to turn the code into a predictive physical theory.</w:t>
      </w:r>
    </w:p>
    <w:p>
      <w:pPr>
        <w:pStyle w:val="Heading2"/>
      </w:pPr>
      <w:r>
        <w:t>1. Introduction</w:t>
      </w:r>
    </w:p>
    <w:p>
      <w:pPr>
        <w:jc w:val="both"/>
      </w:pPr>
      <w:r>
        <w:t>The right way to evaluate an unfinished framework is not to ask whether its strongest rhetoric survives. It is to ask what algebra would need to exist for the framework's central claims to be meaningful.</w:t>
      </w:r>
    </w:p>
    <w:p>
      <w:pPr>
        <w:jc w:val="both"/>
      </w:pPr>
      <w:r>
        <w:t>That is the aim of this note.</w:t>
      </w:r>
    </w:p>
    <w:p>
      <w:pPr>
        <w:jc w:val="both"/>
      </w:pPr>
      <w:r>
        <w:t>The backbone is fixed to the standard toric code on T^3 because that is the most coherent single-manifold choice available in the current programme. Once that choice is made, the question becomes claim-specific: what exact code-space object would have to exist for each advertised prediction, and where does the current framework fail to supply it?</w:t>
      </w:r>
    </w:p>
    <w:p>
      <w:pPr>
        <w:pStyle w:val="Heading2"/>
      </w:pPr>
      <w:r>
        <w:t>2. Fixed Backbone</w:t>
      </w:r>
    </w:p>
    <w:p>
      <w:pPr>
        <w:jc w:val="both"/>
      </w:pPr>
      <w:r>
        <w:t>Take an L x L x L periodic cubic lattice with qubits on edges. The stabilizer algebra is generated by:</w:t>
      </w:r>
    </w:p>
    <w:p>
      <w:pPr>
        <w:pStyle w:val="ListBullet"/>
      </w:pPr>
      <w:r>
        <w:t>star operators A_v = product X_e over edges incident on vertex v,</w:t>
      </w:r>
    </w:p>
    <w:p>
      <w:pPr>
        <w:pStyle w:val="ListBullet"/>
      </w:pPr>
      <w:r>
        <w:t>plaquette operators B_p = product Z_e over the boundary of plaquette p,</w:t>
      </w:r>
    </w:p>
    <w:p>
      <w:pPr>
        <w:pStyle w:val="ListBullet"/>
      </w:pPr>
      <w:r>
        <w:t>Hamiltonian H = - sum_v A_v - sum_p B_p.</w:t>
      </w:r>
    </w:p>
    <w:p>
      <w:pPr>
        <w:jc w:val="both"/>
      </w:pPr>
      <w:r>
        <w:t>The code space is the simultaneous +1 eigenspace of these commuting projectors. Logical structure comes from noncontractible loop and membrane operators on T^3.</w:t>
      </w:r>
    </w:p>
    <w:p>
      <w:pPr>
        <w:jc w:val="both"/>
      </w:pPr>
      <w:r>
        <w:t>A finite-size sanity check performed locally on periodic lattices with L = 2, 3, 4 confirms the standard encoded-qubit count K = 3.</w:t>
      </w:r>
    </w:p>
    <w:p>
      <w:pPr>
        <w:jc w:val="both"/>
      </w:pPr>
      <w:r>
        <w:t>This means the backbone is not the vague part of the programme anymore. The vague part is the physical interpretation layered on top.</w:t>
      </w:r>
    </w:p>
    <w:p>
      <w:pPr>
        <w:pStyle w:val="Heading2"/>
      </w:pPr>
      <w:r>
        <w:t>3. Claim Audit</w:t>
      </w:r>
    </w:p>
    <w:p>
      <w:pPr>
        <w:pStyle w:val="Heading3"/>
      </w:pPr>
      <w:r>
        <w:t>3.1 The k = 3pi Claim</w:t>
      </w:r>
    </w:p>
    <w:p>
      <w:pPr>
        <w:jc w:val="both"/>
      </w:pPr>
      <w:r>
        <w:t>To derive k, the theory needs two defined sectors in code space whose response ratio can be computed. The current framework has neither a gas sector nor a stellar sector inside the toric-code algebra. The obstruction is therefore definitional, not numerical.</w:t>
      </w:r>
    </w:p>
    <w:p>
      <w:pPr>
        <w:jc w:val="both"/>
      </w:pPr>
      <w:r>
        <w:t>The consequence is immediate: k = 3pi remains an empirical hypothesis in the SPARC fit, not a code-derived theorem.</w:t>
      </w:r>
    </w:p>
    <w:p>
      <w:pPr>
        <w:pStyle w:val="Heading3"/>
      </w:pPr>
      <w:r>
        <w:t>3.2 The Inverse-Square IBM Claim</w:t>
      </w:r>
    </w:p>
    <w:p>
      <w:pPr>
        <w:jc w:val="both"/>
      </w:pPr>
      <w:r>
        <w:t>To predict a measurable 1 / D^2 idle-correlation law, the theory needs an explicit operator T^ent or equivalent observable, plus a derived connected correlator and amplitude. The present framework defines none of these. Hardware was therefore asked to reveal a signal whose generating operator and magnitude were never calculated.</w:t>
      </w:r>
    </w:p>
    <w:p>
      <w:pPr>
        <w:jc w:val="both"/>
      </w:pPr>
      <w:r>
        <w:t>This is first a definitional failure and only second a computational one.</w:t>
      </w:r>
    </w:p>
    <w:p>
      <w:pPr>
        <w:pStyle w:val="Heading3"/>
      </w:pPr>
      <w:r>
        <w:t>3.3 The alpha Coincidence</w:t>
      </w:r>
    </w:p>
    <w:p>
      <w:pPr>
        <w:jc w:val="both"/>
      </w:pPr>
      <w:r>
        <w:t>The expression 4pi^3 + pi^2 + pi is numerically striking. But the bare Z2 toric code does not define a U(1) coupling observable whose value could be identified with alpha. The framework currently has no algebraic route from stabilizer data to the electromagnetic coupling constant. The coincidence is real. The derivation is absent.</w:t>
      </w:r>
    </w:p>
    <w:p>
      <w:pPr>
        <w:pStyle w:val="Heading3"/>
      </w:pPr>
      <w:r>
        <w:t>3.4 The Cosmological-Constant Claim</w:t>
      </w:r>
    </w:p>
    <w:p>
      <w:pPr>
        <w:jc w:val="both"/>
      </w:pPr>
      <w:r>
        <w:t>The toric-code rate can be computed abstractly. The physical interpretation of that code rate as the vacuum-energy suppression of the observable universe cannot. The missing step is the first-principles identification of physical and logical qubits with cosmological degrees of freedom. Without that map, the code-rate story remains analogical.</w:t>
      </w:r>
    </w:p>
    <w:p>
      <w:pPr>
        <w:pStyle w:val="Heading3"/>
      </w:pPr>
      <w:r>
        <w:t>3.5 The Three-Generations Claim</w:t>
      </w:r>
    </w:p>
    <w:p>
      <w:pPr>
        <w:jc w:val="both"/>
      </w:pPr>
      <w:r>
        <w:t>The backbone really does supply 3 encoded qubits on T^3. What it does not supply is a proof that T^3 is the uniquely selected compact flat 3-manifold, nor a defined algebraic correspondence between topological sectors and fermion generations. Here the obstruction is both logical and definitional.</w:t>
      </w:r>
    </w:p>
    <w:p>
      <w:pPr>
        <w:pStyle w:val="Heading2"/>
      </w:pPr>
      <w:r>
        <w:t>4. Shared Bottleneck</w:t>
      </w:r>
    </w:p>
    <w:p>
      <w:pPr>
        <w:jc w:val="both"/>
      </w:pPr>
      <w:r>
        <w:t>The central result of the audit is that the failures are not independent.</w:t>
      </w:r>
    </w:p>
    <w:p>
      <w:pPr>
        <w:jc w:val="both"/>
      </w:pPr>
      <w:r>
        <w:t>They all collapse to one missing structure: a mathematically explicit map from physical matter variables to code-space variables.</w:t>
      </w:r>
    </w:p>
    <w:p>
      <w:pPr>
        <w:jc w:val="both"/>
      </w:pPr>
      <w:r>
        <w:t>Without that map:</w:t>
      </w:r>
    </w:p>
    <w:p>
      <w:pPr>
        <w:pStyle w:val="ListBullet"/>
      </w:pPr>
      <w:r>
        <w:t>baryonic phases cannot become code sectors,</w:t>
      </w:r>
    </w:p>
    <w:p>
      <w:pPr>
        <w:pStyle w:val="ListBullet"/>
      </w:pPr>
      <w:r>
        <w:t>entanglement stress cannot become an operator,</w:t>
      </w:r>
    </w:p>
    <w:p>
      <w:pPr>
        <w:pStyle w:val="ListBullet"/>
      </w:pPr>
      <w:r>
        <w:t>morphology cannot become a theory observable,</w:t>
      </w:r>
    </w:p>
    <w:p>
      <w:pPr>
        <w:pStyle w:val="ListBullet"/>
      </w:pPr>
      <w:r>
        <w:t>and the topological backbone cannot generate the phenomenology from first principles.</w:t>
      </w:r>
    </w:p>
    <w:p>
      <w:pPr>
        <w:pStyle w:val="Heading2"/>
      </w:pPr>
      <w:r>
        <w:t>5. Consequences For Scientific Standing</w:t>
      </w:r>
    </w:p>
    <w:p>
      <w:pPr>
        <w:jc w:val="both"/>
      </w:pPr>
      <w:r>
        <w:t>This diagnosis tightens the scientific standing of the programme.</w:t>
      </w:r>
    </w:p>
    <w:p>
      <w:pPr>
        <w:jc w:val="both"/>
      </w:pPr>
      <w:r>
        <w:t>It is too strong to call the current framework a theory of everything. It is also too weak to dismiss the entire project as empty, because two things are now explicit and real:</w:t>
      </w:r>
    </w:p>
    <w:p>
      <w:pPr>
        <w:pStyle w:val="ListBullet"/>
      </w:pPr>
      <w:r>
        <w:t>a nontrivial galaxy phenomenology result,</w:t>
      </w:r>
    </w:p>
    <w:p>
      <w:pPr>
        <w:pStyle w:val="ListBullet"/>
      </w:pPr>
      <w:r>
        <w:t>a standard T^3 toric-code skeleton.</w:t>
      </w:r>
    </w:p>
    <w:p>
      <w:pPr>
        <w:jc w:val="both"/>
      </w:pPr>
      <w:r>
        <w:t>What remains missing is the bridge between them.</w:t>
      </w:r>
    </w:p>
    <w:p>
      <w:pPr>
        <w:pStyle w:val="Heading2"/>
      </w:pPr>
      <w:r>
        <w:t>6. What A Real Resolution Would Look Like</w:t>
      </w:r>
    </w:p>
    <w:p>
      <w:pPr>
        <w:jc w:val="both"/>
      </w:pPr>
      <w:r>
        <w:t>A genuine advance would not begin with a new synthesis claim. It would begin with one mathematically explicit matter-coupling construction that can be tested.</w:t>
      </w:r>
    </w:p>
    <w:p>
      <w:pPr>
        <w:jc w:val="both"/>
      </w:pPr>
      <w:r>
        <w:t>Such a construction would need to:</w:t>
      </w:r>
    </w:p>
    <w:p>
      <w:pPr>
        <w:pStyle w:val="ListBullet"/>
      </w:pPr>
      <w:r>
        <w:t>define matter registers or effective matter observables,</w:t>
      </w:r>
    </w:p>
    <w:p>
      <w:pPr>
        <w:pStyle w:val="ListBullet"/>
      </w:pPr>
      <w:r>
        <w:t>couple them to the stabilizer backbone,</w:t>
      </w:r>
    </w:p>
    <w:p>
      <w:pPr>
        <w:pStyle w:val="ListBullet"/>
      </w:pPr>
      <w:r>
        <w:t>produce gas and stellar sectors as actual algebraic subspaces,</w:t>
      </w:r>
    </w:p>
    <w:p>
      <w:pPr>
        <w:pStyle w:val="ListBullet"/>
      </w:pPr>
      <w:r>
        <w:t>define entanglement stress as a response quantity,</w:t>
      </w:r>
    </w:p>
    <w:p>
      <w:pPr>
        <w:pStyle w:val="ListBullet"/>
      </w:pPr>
      <w:r>
        <w:t>and only then revisit k, IBM amplitudes, alpha, Lambda, and generation counting.</w:t>
      </w:r>
    </w:p>
    <w:p>
      <w:pPr>
        <w:pStyle w:val="Heading2"/>
      </w:pPr>
      <w:r>
        <w:t>7. Conclusion</w:t>
      </w:r>
    </w:p>
    <w:p>
      <w:pPr>
        <w:jc w:val="both"/>
      </w:pPr>
      <w:r>
        <w:t>The programme does not yet fail because its last decimal place is wrong. It fails earlier, where its flagship claims need algebraic objects that the current theory does not define.</w:t>
      </w:r>
    </w:p>
    <w:p>
      <w:pPr>
        <w:jc w:val="both"/>
      </w:pPr>
      <w:r>
        <w:t>That is the useful result. It tells future work exactly where to begin, and it prevents the next round of theorizing from pretending those missing objects already exist.</w:t>
      </w:r>
    </w:p>
    <w:sectPr w:rsidR="00FC693F" w:rsidRPr="0006063C" w:rsidSect="00034616">
      <w:headerReference w:type="default" r:id="rId9"/>
      <w:footerReference w:type="default" r:id="rId10"/>
      <w:pgSz w:w="12240" w:h="15840"/>
      <w:pgMar w:top="1296" w:right="1296" w:bottom="1080" w:left="1296"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mbria" w:hAnsi="Cambria"/>
        <w:color w:val="6B7280"/>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mbria" w:hAnsi="Cambria"/>
        <w:b/>
        <w:color w:val="6B7280"/>
        <w:sz w:val="17"/>
      </w:rPr>
      <w:t>ALGEBRAIC FAILURE MODES OF T3-BASED QECC COSMOLOGY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Algebraic Failure Modes of T3-Based QECC Cosmology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