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 w:after="240"/>
        <w:jc w:val="center"/>
      </w:pPr>
      <w:r>
        <w:rPr>
          <w:rFonts w:ascii="Cambria" w:hAnsi="Cambria"/>
          <w:b/>
          <w:color w:val="16324F"/>
          <w:sz w:val="48"/>
        </w:rPr>
        <w:t>CSR Bridge Kernel Derivation (Core)</w:t>
      </w:r>
    </w:p>
    <w:p>
      <w:pPr>
        <w:spacing w:after="80"/>
        <w:jc w:val="center"/>
      </w:pPr>
      <w:r>
        <w:rPr>
          <w:rFonts w:ascii="Cambria" w:hAnsi="Cambria"/>
          <w:i/>
          <w:color w:val="6B7280"/>
          <w:sz w:val="22"/>
        </w:rPr>
        <w:t>Corrected audit export</w:t>
      </w:r>
    </w:p>
    <w:p>
      <w:pPr>
        <w:spacing w:after="360"/>
        <w:jc w:val="center"/>
      </w:pPr>
      <w:r>
        <w:rPr>
          <w:rFonts w:ascii="Cambria" w:hAnsi="Cambria"/>
          <w:color w:val="6B7280"/>
          <w:sz w:val="21"/>
        </w:rPr>
        <w:t>March 10, 2026</w:t>
      </w:r>
    </w:p>
    <w:p>
      <w:pPr>
        <w:spacing w:after="0"/>
        <w:ind w:left="1440" w:right="1440"/>
        <w:jc w:val="center"/>
      </w:pPr>
      <w:r>
        <w:rPr>
          <w:rFonts w:ascii="Cambria" w:hAnsi="Cambria"/>
          <w:color w:val="384452"/>
          <w:sz w:val="20"/>
        </w:rPr>
        <w:t>Presentation edition prepared from independently rerun scripts and live verification tests.</w:t>
      </w:r>
    </w:p>
    <w:p>
      <w:r>
        <w:br w:type="page"/>
      </w:r>
    </w:p>
    <w:p>
      <w:pPr>
        <w:jc w:val="both"/>
      </w:pPr>
      <w:r>
        <w:t>This note derives the spatial kernel implied by the core bridge generator alone. March 2026.</w:t>
      </w:r>
    </w:p>
    <w:p>
      <w:pPr>
        <w:pStyle w:val="Heading2"/>
      </w:pPr>
      <w:r>
        <w:t>Assumptions (Explicit)</w:t>
      </w:r>
    </w:p>
    <w:p>
      <w:pPr>
        <w:jc w:val="both"/>
      </w:pPr>
      <w:r>
        <w:t>A1. The bridge generator is stabilizer monitoring with jump operators proportional to plaquette checks B_p.</w:t>
      </w:r>
    </w:p>
    <w:p>
      <w:pPr>
        <w:pStyle w:val="ListBullet"/>
      </w:pPr>
      <w:r>
        <w:t>Verified: YES (CSR_Bridge_Object_Core.md).</w:t>
      </w:r>
    </w:p>
    <w:p>
      <w:pPr>
        <w:jc w:val="both"/>
      </w:pPr>
      <w:r>
        <w:t>A2. The bridge coupling to matter is local on a single edge e, using X_e.</w:t>
      </w:r>
    </w:p>
    <w:p>
      <w:pPr>
        <w:pStyle w:val="ListBullet"/>
      </w:pPr>
      <w:r>
        <w:t>Verified: YES (CSR_Bridge_Object_Core.md).</w:t>
      </w:r>
    </w:p>
    <w:p>
      <w:pPr>
        <w:jc w:val="both"/>
      </w:pPr>
      <w:r>
        <w:t>A3. The adjoint action of the Lindblad generator on X_e captures the spatial structure of any kernel that could arise from the bridge alone.</w:t>
      </w:r>
    </w:p>
    <w:p>
      <w:pPr>
        <w:pStyle w:val="ListBullet"/>
      </w:pPr>
      <w:r>
        <w:t>Verified: YES (this is standard for open-system generators; no additional modeling assumed).</w:t>
      </w:r>
    </w:p>
    <w:p>
      <w:pPr>
        <w:pStyle w:val="Heading2"/>
      </w:pPr>
      <w:r>
        <w:t>Derivation (Minimal)</w:t>
      </w:r>
    </w:p>
    <w:p>
      <w:pPr>
        <w:jc w:val="both"/>
      </w:pPr>
      <w:r>
        <w:t>For a plaquette operator B_p containing edge e:</w:t>
      </w:r>
    </w:p>
    <w:p>
      <w:pPr>
        <w:pStyle w:val="ListBullet"/>
      </w:pPr>
      <w:r>
        <w:t>B_p X_e B_p = -X_e</w:t>
      </w:r>
    </w:p>
    <w:p>
      <w:pPr>
        <w:pStyle w:val="ListBullet"/>
      </w:pPr>
      <w:r>
        <w:t>D^daggerB_p = B_p X_e B_p - X_e = -2 X_e</w:t>
      </w:r>
    </w:p>
    <w:p>
      <w:pPr>
        <w:jc w:val="both"/>
      </w:pPr>
      <w:r>
        <w:t>Only plaquettes incident on e anticommute with X_e. All other plaquettes commute and contribute 0.</w:t>
      </w:r>
    </w:p>
    <w:p>
      <w:pPr>
        <w:jc w:val="both"/>
      </w:pPr>
      <w:r>
        <w:t>On a cubic T^3 lattice, each edge touches four plaquettes, therefore:</w:t>
      </w:r>
    </w:p>
    <w:p>
      <w:pPr>
        <w:pStyle w:val="ListBullet"/>
      </w:pPr>
      <w:r>
        <w:t>sum_p D^daggerB_p = -8 X_e</w:t>
      </w:r>
    </w:p>
    <w:p>
      <w:pPr>
        <w:jc w:val="both"/>
      </w:pPr>
      <w:r>
        <w:t>This derivation is verified numerically by a direct matrix computation in:</w:t>
      </w:r>
    </w:p>
    <w:p>
      <w:pPr>
        <w:pStyle w:val="ListBullet"/>
      </w:pPr>
      <w:r>
        <w:t>verification/csr_bridge_kernel_derivation.py</w:t>
      </w:r>
    </w:p>
    <w:p>
      <w:pPr>
        <w:jc w:val="both"/>
      </w:pPr>
      <w:r>
        <w:t>Machine output:</w:t>
      </w:r>
    </w:p>
    <w:p>
      <w:pPr>
        <w:pStyle w:val="ListBullet"/>
      </w:pPr>
      <w:r>
        <w:t>output/audit/csr_bridge_kernel_derivation.json</w:t>
      </w:r>
    </w:p>
    <w:p>
      <w:pPr>
        <w:pStyle w:val="Heading2"/>
      </w:pPr>
      <w:r>
        <w:t>Implication for the Spatial Kernel</w:t>
      </w:r>
    </w:p>
    <w:p>
      <w:pPr>
        <w:jc w:val="both"/>
      </w:pPr>
      <w:r>
        <w:t>The adjoint action produces a local damping of X_e with a scalar rate. There are no spatial derivative terms and no coupling to neighboring edges in the generator itself.</w:t>
      </w:r>
    </w:p>
    <w:p>
      <w:pPr>
        <w:jc w:val="both"/>
      </w:pPr>
      <w:r>
        <w:t>Therefore, the kernel implied by the bridge generator alone is:</w:t>
      </w:r>
    </w:p>
    <w:p>
      <w:pPr>
        <w:pStyle w:val="ListBullet"/>
      </w:pPr>
      <w:r>
        <w:t>ultralocal (delta in real space)</w:t>
      </w:r>
    </w:p>
    <w:p>
      <w:pPr>
        <w:pStyle w:val="ListBullet"/>
      </w:pPr>
      <w:r>
        <w:t>constant in momentum space (p^0), not p^2 or p^3</w:t>
      </w:r>
    </w:p>
    <w:p>
      <w:pPr>
        <w:jc w:val="both"/>
      </w:pPr>
      <w:r>
        <w:t>This is a hard obstruction: the core generator by itself cannot produce a cubic spatial kinetic operator.</w:t>
      </w:r>
    </w:p>
    <w:p>
      <w:pPr>
        <w:pStyle w:val="Heading2"/>
      </w:pPr>
      <w:r>
        <w:t>Gate 1 Status Under This Derivation</w:t>
      </w:r>
    </w:p>
    <w:p>
      <w:pPr>
        <w:jc w:val="both"/>
      </w:pPr>
      <w:r>
        <w:t>Gate 1 asks for a derived cubic IR operator (|grad phi|^3 / |p|^3) without insertion.</w:t>
      </w:r>
    </w:p>
    <w:p>
      <w:pPr>
        <w:jc w:val="both"/>
      </w:pPr>
      <w:r>
        <w:t>From the core bridge generator alone:</w:t>
      </w:r>
    </w:p>
    <w:p>
      <w:pPr>
        <w:pStyle w:val="ListBullet"/>
      </w:pPr>
      <w:r>
        <w:t>derived cubic operator: NO</w:t>
      </w:r>
    </w:p>
    <w:p>
      <w:pPr>
        <w:pStyle w:val="ListBullet"/>
      </w:pPr>
      <w:r>
        <w:t>Gate 1: FAIL</w:t>
      </w:r>
    </w:p>
    <w:p>
      <w:pPr>
        <w:jc w:val="both"/>
      </w:pPr>
      <w:r>
        <w:t>This is not a failure of the full program, only a statement about the current core bridge object. A nonlocal kernel would require an explicit observable map and a coarse-graining mechanism not yet written in the core.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296" w:bottom="1080" w:left="1296" w:header="504" w:footer="576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rFonts w:ascii="Cambria" w:hAnsi="Cambria"/>
        <w:color w:val="6B7280"/>
        <w:sz w:val="17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mbria" w:hAnsi="Cambria"/>
        <w:b/>
        <w:color w:val="6B7280"/>
        <w:sz w:val="17"/>
      </w:rPr>
      <w:t>CSR BRIDGE KERNEL DERIVATION (CORE)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mbria" w:hAnsi="Cambria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/>
      <w:b/>
      <w:bCs/>
      <w:color w:val="1632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mbria" w:hAnsi="Cambria"/>
      <w:b/>
      <w:bCs/>
      <w:color w:val="2C3E5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mbria" w:hAnsi="Cambria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CSR Bridge Kernel Derivation (Core)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