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Claude File Review (March 2026)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Scope: verify the Claude-provided CSR documents against the local core record. Inputs reviewed (copied from Downloads):</w:t>
      </w:r>
    </w:p>
    <w:p>
      <w:pPr>
        <w:pStyle w:val="ListBullet"/>
      </w:pPr>
      <w:r>
        <w:t>CSR_T3_Typed_Theory_Object.docx</w:t>
      </w:r>
    </w:p>
    <w:p>
      <w:pPr>
        <w:pStyle w:val="ListBullet"/>
      </w:pPr>
      <w:r>
        <w:t>CSR_Fixed_Point_Program.docx</w:t>
      </w:r>
    </w:p>
    <w:p>
      <w:pPr>
        <w:pStyle w:val="ListBullet"/>
      </w:pPr>
      <w:r>
        <w:t>CSR_External_Model_Audit_Updated.docx</w:t>
      </w:r>
    </w:p>
    <w:p>
      <w:pPr>
        <w:pStyle w:val="ListBullet"/>
      </w:pPr>
      <w:r>
        <w:t>CSR_FRG_Computation_Result.docx</w:t>
      </w:r>
    </w:p>
    <w:p>
      <w:pPr>
        <w:pStyle w:val="ListBullet"/>
      </w:pPr>
      <w:r>
        <w:t>CSR_Bridge_Gate1b_Result.docx</w:t>
      </w:r>
    </w:p>
    <w:p>
      <w:pPr>
        <w:pStyle w:val="ListBullet"/>
      </w:pPr>
      <w:r>
        <w:t>CSR_Bridge_NoGo_Theorem.docx</w:t>
      </w:r>
    </w:p>
    <w:p>
      <w:pPr>
        <w:pStyle w:val="ListBullet"/>
      </w:pPr>
      <w:r>
        <w:t>CSR_Program_Status_Final.docx</w:t>
      </w:r>
    </w:p>
    <w:p>
      <w:pPr>
        <w:pStyle w:val="ListBullet"/>
      </w:pPr>
      <w:r>
        <w:t>frg_computation_result.json</w:t>
      </w:r>
    </w:p>
    <w:p>
      <w:pPr>
        <w:pStyle w:val="ListBullet"/>
      </w:pPr>
      <w:r>
        <w:t>bridge_computation_result.json</w:t>
      </w:r>
    </w:p>
    <w:p>
      <w:pPr>
        <w:pStyle w:val="ListBullet"/>
      </w:pPr>
      <w:r>
        <w:t>csr_nogo_synthesis.json</w:t>
      </w:r>
    </w:p>
    <w:p>
      <w:pPr>
        <w:pStyle w:val="ListBullet"/>
      </w:pPr>
      <w:r>
        <w:t>observable_map_gate1.json</w:t>
      </w:r>
    </w:p>
    <w:p>
      <w:pPr>
        <w:pStyle w:val="Heading2"/>
      </w:pPr>
      <w:r>
        <w:t>Verification Checks</w:t>
      </w:r>
    </w:p>
    <w:p>
      <w:pPr>
        <w:pStyle w:val="ListNumber"/>
      </w:pPr>
      <w:r>
        <w:t>frg_computation_result.json matches the local output/audit/frg_computation_result.json values exactly.</w:t>
      </w:r>
    </w:p>
    <w:p>
      <w:pPr>
        <w:pStyle w:val="ListNumber"/>
      </w:pPr>
      <w:r>
        <w:t>bridge_computation_result.json matches the local output/audit/bridge_computation_result.json values exactly.</w:t>
      </w:r>
    </w:p>
    <w:p>
      <w:pPr>
        <w:pStyle w:val="Heading2"/>
      </w:pPr>
      <w:r>
        <w:t>Document-Level Findings</w:t>
      </w:r>
    </w:p>
    <w:p>
      <w:pPr>
        <w:pStyle w:val="Heading3"/>
      </w:pPr>
      <w:r>
        <w:t>CSR_T3_Typed_Theory_Object.docx</w:t>
      </w:r>
    </w:p>
    <w:p>
      <w:pPr>
        <w:pStyle w:val="ListBullet"/>
      </w:pPr>
      <w:r>
        <w:t>Contains a scalar-field + FRG framing that is broadly consistent with the target program.</w:t>
      </w:r>
    </w:p>
    <w:p>
      <w:pPr>
        <w:pStyle w:val="ListBullet"/>
      </w:pPr>
      <w:r>
        <w:t>Introduces an explicit anticommuting/fermionic bridge sector and claims it is established.</w:t>
      </w:r>
    </w:p>
    <w:p>
      <w:pPr>
        <w:pStyle w:val="ListBullet"/>
      </w:pPr>
      <w:r>
        <w:t>The local core record defines the bridge as an open-system stabilizer-monitoring generator (not an explicit fermionic action).</w:t>
      </w:r>
    </w:p>
    <w:p>
      <w:pPr>
        <w:pStyle w:val="ListBullet"/>
      </w:pPr>
      <w:r>
        <w:t>Therefore: treat the anticommuting/fermion action content as a proposal, not a derived core object.</w:t>
      </w:r>
    </w:p>
    <w:p>
      <w:pPr>
        <w:pStyle w:val="Heading3"/>
      </w:pPr>
      <w:r>
        <w:t>CSR_Fixed_Point_Program.docx</w:t>
      </w:r>
    </w:p>
    <w:p>
      <w:pPr>
        <w:pStyle w:val="ListBullet"/>
      </w:pPr>
      <w:r>
        <w:t>Uses the older gate ordering (FRG as Gate 1).</w:t>
      </w:r>
    </w:p>
    <w:p>
      <w:pPr>
        <w:pStyle w:val="ListBullet"/>
      </w:pPr>
      <w:r>
        <w:t>The local program has been updated to insert the bridge kinetic-exponent check as Gate 1.</w:t>
      </w:r>
    </w:p>
    <w:p>
      <w:pPr>
        <w:pStyle w:val="ListBullet"/>
      </w:pPr>
      <w:r>
        <w:t>Therefore: the docx is useful context but not the current canonical gate sequence.</w:t>
      </w:r>
    </w:p>
    <w:p>
      <w:pPr>
        <w:pStyle w:val="Heading3"/>
      </w:pPr>
      <w:r>
        <w:t>CSR_External_Model_Audit_Updated.docx</w:t>
      </w:r>
    </w:p>
    <w:p>
      <w:pPr>
        <w:pStyle w:val="ListBullet"/>
      </w:pPr>
      <w:r>
        <w:t>Consistent with the local update: Kimi and Julius signals are recorded as legibility falsification data.</w:t>
      </w:r>
    </w:p>
    <w:p>
      <w:pPr>
        <w:pStyle w:val="ListBullet"/>
      </w:pPr>
      <w:r>
        <w:t>No material conflicts found.</w:t>
      </w:r>
    </w:p>
    <w:p>
      <w:pPr>
        <w:pStyle w:val="Heading3"/>
      </w:pPr>
      <w:r>
        <w:t>CSR_FRG_Computation_Result.docx</w:t>
      </w:r>
    </w:p>
    <w:p>
      <w:pPr>
        <w:pStyle w:val="ListBullet"/>
      </w:pPr>
      <w:r>
        <w:t>Consistent with local computation results and JSON output.</w:t>
      </w:r>
    </w:p>
    <w:p>
      <w:pPr>
        <w:pStyle w:val="ListBullet"/>
      </w:pPr>
      <w:r>
        <w:t>Safe to treat as aligned with the canonical record.</w:t>
      </w:r>
    </w:p>
    <w:p>
      <w:pPr>
        <w:pStyle w:val="Heading3"/>
      </w:pPr>
      <w:r>
        <w:t>CSR_Bridge_Gate1b_Result.docx</w:t>
      </w:r>
    </w:p>
    <w:p>
      <w:pPr>
        <w:pStyle w:val="ListBullet"/>
      </w:pPr>
      <w:r>
        <w:t>Consistent with local Gate 1b results and JSON output.</w:t>
      </w:r>
    </w:p>
    <w:p>
      <w:pPr>
        <w:pStyle w:val="ListBullet"/>
      </w:pPr>
      <w:r>
        <w:t>Safe to treat as aligned with the canonical record.</w:t>
      </w:r>
    </w:p>
    <w:p>
      <w:pPr>
        <w:pStyle w:val="Heading3"/>
      </w:pPr>
      <w:r>
        <w:t>CSR_Bridge_NoGo_Theorem.docx</w:t>
      </w:r>
    </w:p>
    <w:p>
      <w:pPr>
        <w:pStyle w:val="ListBullet"/>
      </w:pPr>
      <w:r>
        <w:t>Consistent with the local no-go synthesis and viability audit.</w:t>
      </w:r>
    </w:p>
    <w:p>
      <w:pPr>
        <w:pStyle w:val="ListBullet"/>
      </w:pPr>
      <w:r>
        <w:t>Scope and loopholes match the canonical record.</w:t>
      </w:r>
    </w:p>
    <w:p>
      <w:pPr>
        <w:pStyle w:val="Heading3"/>
      </w:pPr>
      <w:r>
        <w:t>csr_nogo_synthesis.json</w:t>
      </w:r>
    </w:p>
    <w:p>
      <w:pPr>
        <w:pStyle w:val="ListBullet"/>
      </w:pPr>
      <w:r>
        <w:t>Matches the local constraint-theorem structure and the seven-closure summary.</w:t>
      </w:r>
    </w:p>
    <w:p>
      <w:pPr>
        <w:pStyle w:val="Heading3"/>
      </w:pPr>
      <w:r>
        <w:t>observable_map_gate1.json</w:t>
      </w:r>
    </w:p>
    <w:p>
      <w:pPr>
        <w:pStyle w:val="ListBullet"/>
      </w:pPr>
      <w:r>
        <w:t>Encodes an explicit observable map and a Gate 1 result n = 2 under a diffusion closure.</w:t>
      </w:r>
    </w:p>
    <w:p>
      <w:pPr>
        <w:pStyle w:val="ListBullet"/>
      </w:pPr>
      <w:r>
        <w:t>This is consistent with the explicit map now recorded locally, but the diffusion step remains an assumption.</w:t>
      </w:r>
    </w:p>
    <w:p>
      <w:pPr>
        <w:pStyle w:val="Heading3"/>
      </w:pPr>
      <w:r>
        <w:t>CSR_Program_Status_Final.docx</w:t>
      </w:r>
    </w:p>
    <w:p>
      <w:pPr>
        <w:pStyle w:val="ListBullet"/>
      </w:pPr>
      <w:r>
        <w:t>Largely consistent with the current program state and the no-go theorem.</w:t>
      </w:r>
    </w:p>
    <w:p>
      <w:pPr>
        <w:pStyle w:val="ListBullet"/>
      </w:pPr>
      <w:r>
        <w:t>Overstates one point: it describes the observable-map EOM as fully derived from the core bridge record.</w:t>
      </w:r>
    </w:p>
    <w:p>
      <w:pPr>
        <w:pStyle w:val="ListBullet"/>
      </w:pPr>
      <w:r>
        <w:t>Canonical record now clarifies this as assumption-bound: strict core gives p^0, closure gives p^2.</w:t>
      </w:r>
    </w:p>
    <w:p>
      <w:pPr>
        <w:pStyle w:val="Heading2"/>
      </w:pPr>
      <w:r>
        <w:t>Conclusion</w:t>
      </w:r>
    </w:p>
    <w:p>
      <w:pPr>
        <w:jc w:val="both"/>
      </w:pPr>
      <w:r>
        <w:t>Claude outputs are largely consistent on results already computed locally. The only material overreach is the implicit promotion of a fermionic/anticommuting bridge action and the overstatement of the observable-map derivation. Canonical documents remain the local .md files in this repository; external AI text is treated as proposal-only unless verified against the core derivation layer.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CLAUDE FILE REVIEW (MARCH 2026)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Claude File Review (March 2026)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