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Cleaned External Benchmark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Result</w:t>
      </w:r>
    </w:p>
    <w:p>
      <w:pPr>
        <w:jc w:val="both"/>
      </w:pPr>
      <w:r>
        <w:t>The first honest derived CSR benchmark on the alias-clean local decomposition-grade sample collapses to baryons-only.</w:t>
      </w:r>
    </w:p>
    <w:p>
      <w:pPr>
        <w:jc w:val="both"/>
      </w:pPr>
      <w:r>
        <w:t>That is because the current semiclassical derivation does not produce a deterministic orbital kernel. The derived mean-force correction is zero at this order.</w:t>
      </w:r>
    </w:p>
    <w:p>
      <w:pPr>
        <w:jc w:val="both"/>
      </w:pPr>
      <w:r>
        <w:t>The machine-readable result is in csr_cleaned_external_benchmark.json.</w:t>
      </w:r>
    </w:p>
    <w:p>
      <w:pPr>
        <w:pStyle w:val="Heading2"/>
      </w:pPr>
      <w:r>
        <w:t>Sample</w:t>
      </w:r>
    </w:p>
    <w:p>
      <w:pPr>
        <w:jc w:val="both"/>
      </w:pPr>
      <w:r>
        <w:t>After alias cleaning and SPARC-overlap removal, the local decomposition-grade external sample contains only 3 galaxies:</w:t>
      </w:r>
    </w:p>
    <w:p>
      <w:pPr>
        <w:pStyle w:val="ListBullet"/>
      </w:pPr>
      <w:r>
        <w:t>m33</w:t>
      </w:r>
    </w:p>
    <w:p>
      <w:pPr>
        <w:pStyle w:val="ListBullet"/>
      </w:pPr>
      <w:r>
        <w:t>n1560</w:t>
      </w:r>
    </w:p>
    <w:p>
      <w:pPr>
        <w:pStyle w:val="ListBullet"/>
      </w:pPr>
      <w:r>
        <w:t>n5533</w:t>
      </w:r>
    </w:p>
    <w:p>
      <w:pPr>
        <w:jc w:val="both"/>
      </w:pPr>
      <w:r>
        <w:t>All three come from galaxy_massmodels.dat.</w:t>
      </w:r>
    </w:p>
    <w:p>
      <w:pPr>
        <w:jc w:val="both"/>
      </w:pPr>
      <w:r>
        <w:t>This is useful as a contamination-controlled stress test. It is not enough for the falsifiability clause.</w:t>
      </w:r>
    </w:p>
    <w:p>
      <w:pPr>
        <w:pStyle w:val="Heading2"/>
      </w:pPr>
      <w:r>
        <w:t>Aggregate Pointwise R^2</w:t>
      </w:r>
    </w:p>
    <w:p>
      <w:pPr>
        <w:pStyle w:val="ListBullet"/>
      </w:pPr>
      <w:r>
        <w:t>derived CSR zero-force: 0.4628</w:t>
      </w:r>
    </w:p>
    <w:p>
      <w:pPr>
        <w:pStyle w:val="ListBullet"/>
      </w:pPr>
      <w:r>
        <w:t>baryons-only: 0.4628</w:t>
      </w:r>
    </w:p>
    <w:p>
      <w:pPr>
        <w:pStyle w:val="ListBullet"/>
      </w:pPr>
      <w:r>
        <w:t>MOND: 0.8618</w:t>
      </w:r>
    </w:p>
    <w:p>
      <w:pPr>
        <w:pStyle w:val="ListBullet"/>
      </w:pPr>
      <w:r>
        <w:t>legacy frozen MSQECC law: 0.8362</w:t>
      </w:r>
    </w:p>
    <w:p>
      <w:pPr>
        <w:pStyle w:val="Heading2"/>
      </w:pPr>
      <w:r>
        <w:t>Median Per-Galaxy R^2</w:t>
      </w:r>
    </w:p>
    <w:p>
      <w:pPr>
        <w:pStyle w:val="ListBullet"/>
      </w:pPr>
      <w:r>
        <w:t>derived CSR zero-force: -10.8818</w:t>
      </w:r>
    </w:p>
    <w:p>
      <w:pPr>
        <w:pStyle w:val="ListBullet"/>
      </w:pPr>
      <w:r>
        <w:t>baryons-only: -10.8818</w:t>
      </w:r>
    </w:p>
    <w:p>
      <w:pPr>
        <w:pStyle w:val="ListBullet"/>
      </w:pPr>
      <w:r>
        <w:t>MOND: 0.7552</w:t>
      </w:r>
    </w:p>
    <w:p>
      <w:pPr>
        <w:pStyle w:val="ListBullet"/>
      </w:pPr>
      <w:r>
        <w:t>legacy frozen MSQECC law: -2.0692</w:t>
      </w:r>
    </w:p>
    <w:p>
      <w:pPr>
        <w:pStyle w:val="Heading2"/>
      </w:pPr>
      <w:r>
        <w:t>Per-Galaxy</w:t>
      </w:r>
    </w:p>
    <w:p>
      <w:pPr>
        <w:pStyle w:val="ListBullet"/>
      </w:pPr>
      <w:r>
        <w:t>m33: derived CSR 0.3855, MOND -0.6620, legacy 0.2104</w:t>
      </w:r>
    </w:p>
    <w:p>
      <w:pPr>
        <w:pStyle w:val="ListBullet"/>
      </w:pPr>
      <w:r>
        <w:t>n1560: derived CSR -10.8818, MOND 0.8272, legacy -2.0692</w:t>
      </w:r>
    </w:p>
    <w:p>
      <w:pPr>
        <w:pStyle w:val="ListBullet"/>
      </w:pPr>
      <w:r>
        <w:t>n5533: derived CSR -29.0877, MOND 0.7552, legacy -4.8346</w:t>
      </w:r>
    </w:p>
    <w:p>
      <w:pPr>
        <w:pStyle w:val="Heading2"/>
      </w:pPr>
      <w:r>
        <w:t>Interpretation</w:t>
      </w:r>
    </w:p>
    <w:p>
      <w:pPr>
        <w:jc w:val="both"/>
      </w:pPr>
      <w:r>
        <w:t>This is not evidence against the bridge.</w:t>
      </w:r>
    </w:p>
    <w:p>
      <w:pPr>
        <w:jc w:val="both"/>
      </w:pPr>
      <w:r>
        <w:t>It is evidence against pretending that the bridge has already produced a viable galaxy law.</w:t>
      </w:r>
    </w:p>
    <w:p>
      <w:pPr>
        <w:jc w:val="both"/>
      </w:pPr>
      <w:r>
        <w:t>At the current derivation order, the benchmarkable CSR kernel is just baryons-only. Once that is admitted, the decomposition-grade local benchmark becomes a narrow contamination-controlled baseline, not a competition result.</w:t>
      </w:r>
    </w:p>
    <w:p>
      <w:pPr>
        <w:pStyle w:val="Heading2"/>
      </w:pPr>
      <w:r>
        <w:t>Bottom Line</w:t>
      </w:r>
    </w:p>
    <w:p>
      <w:pPr>
        <w:jc w:val="both"/>
      </w:pPr>
      <w:r>
        <w:t>The correct empirical reading is narrow:</w:t>
      </w:r>
    </w:p>
    <w:p>
      <w:pPr>
        <w:pStyle w:val="ListBullet"/>
      </w:pPr>
      <w:r>
        <w:t>the alias-clean local decomposition-grade sample is only 3 galaxies</w:t>
      </w:r>
    </w:p>
    <w:p>
      <w:pPr>
        <w:pStyle w:val="ListBullet"/>
      </w:pPr>
      <w:r>
        <w:t>the currently derived CSR kernel is not competitive because it is just baryons-only</w:t>
      </w:r>
    </w:p>
    <w:p>
      <w:pPr>
        <w:pStyle w:val="ListBullet"/>
      </w:pPr>
      <w:r>
        <w:t>any stronger galaxy claim now requires a new derived mechanism, not a restatement of the same Hermitian dephasing channel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CLEANED EXTERNAL BENCHMARK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Cleaned External Benchmark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