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Constraint-Derived Root Law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branch is the first explicit attempt to derive the low-acceleration bend analytically instead of fitting a MOND-shaped interpolation template.</w:t>
      </w:r>
    </w:p>
    <w:p>
      <w:pPr>
        <w:jc w:val="both"/>
      </w:pPr>
      <w:r>
        <w:t>It is not presented as a finished CSR law. It is a derivation-first test law designed to answer a narrower question:</w:t>
      </w:r>
    </w:p>
    <w:p>
      <w:pPr>
        <w:jc w:val="both"/>
      </w:pPr>
      <w:r>
        <w:t>Can a quotient-normalized closure produce the square-root regime analytically with only one global scale left to fit?</w:t>
      </w:r>
    </w:p>
    <w:p>
      <w:pPr>
        <w:pStyle w:val="Heading2"/>
      </w:pPr>
      <w:r>
        <w:t>Law</w:t>
      </w:r>
    </w:p>
    <w:p>
      <w:pPr>
        <w:jc w:val="both"/>
      </w:pPr>
      <w:r>
        <w:t>The branch uses the best current weighted Hodge source as its quotient-response input and imposes a quadratic closure:</w:t>
      </w:r>
    </w:p>
    <w:p>
      <w:pPr>
        <w:pStyle w:val="ListBullet"/>
      </w:pPr>
      <w:r>
        <w:t>Q(r) = sqrt(1 + (response(r) / response_scale)^2)</w:t>
      </w:r>
    </w:p>
    <w:p>
      <w:pPr>
        <w:pStyle w:val="ListBullet"/>
      </w:pPr>
      <w:r>
        <w:t>a_eff(r) = a_ Q(r)</w:t>
      </w:r>
    </w:p>
    <w:p>
      <w:pPr>
        <w:pStyle w:val="ListBullet"/>
      </w:pPr>
      <w:r>
        <w:t>g(g - g_bar) = a_eff g_bar</w:t>
      </w:r>
    </w:p>
    <w:p>
      <w:pPr>
        <w:pStyle w:val="ListBullet"/>
      </w:pPr>
      <w:r>
        <w:t>g_pred(r) = 0.5 [g_bar + sqrt(g_bar^2 + 4 a_eff g_bar)]</w:t>
      </w:r>
    </w:p>
    <w:p>
      <w:pPr>
        <w:pStyle w:val="ListBullet"/>
      </w:pPr>
      <w:r>
        <w:t>v_pred^2 = r g_pred</w:t>
      </w:r>
    </w:p>
    <w:p>
      <w:pPr>
        <w:pStyle w:val="Heading2"/>
      </w:pPr>
      <w:r>
        <w:t>What Is Actually Derived Here</w:t>
      </w:r>
    </w:p>
    <w:p>
      <w:pPr>
        <w:jc w:val="both"/>
      </w:pPr>
      <w:r>
        <w:t>Derived:</w:t>
      </w:r>
    </w:p>
    <w:p>
      <w:pPr>
        <w:pStyle w:val="ListBullet"/>
      </w:pPr>
      <w:r>
        <w:t>the low-acceleration square-root bend comes from the quadratic closure,</w:t>
      </w:r>
    </w:p>
    <w:p>
      <w:pPr>
        <w:pStyle w:val="ListBullet"/>
      </w:pPr>
      <w:r>
        <w:t>the high-acceleration Newtonian limit comes from the same closure,</w:t>
      </w:r>
    </w:p>
    <w:p>
      <w:pPr>
        <w:pStyle w:val="ListBullet"/>
      </w:pPr>
      <w:r>
        <w:t>the shape is not inserted through a hand-chosen MOND interpolation function.</w:t>
      </w:r>
    </w:p>
    <w:p>
      <w:pPr>
        <w:jc w:val="both"/>
      </w:pPr>
      <w:r>
        <w:t>Not yet derived:</w:t>
      </w:r>
    </w:p>
    <w:p>
      <w:pPr>
        <w:pStyle w:val="ListBullet"/>
      </w:pPr>
      <w:r>
        <w:t>the quotient norm Q(r) itself,</w:t>
      </w:r>
    </w:p>
    <w:p>
      <w:pPr>
        <w:pStyle w:val="ListBullet"/>
      </w:pPr>
      <w:r>
        <w:t>the transition scale a_,</w:t>
      </w:r>
    </w:p>
    <w:p>
      <w:pPr>
        <w:pStyle w:val="ListBullet"/>
      </w:pPr>
      <w:r>
        <w:t>any proof that this closure follows from the monitored quotient measure rather than being an admissible constraint-driven guess.</w:t>
      </w:r>
    </w:p>
    <w:p>
      <w:pPr>
        <w:pStyle w:val="Heading2"/>
      </w:pPr>
      <w:r>
        <w:t>Fitted Quantity</w:t>
      </w:r>
    </w:p>
    <w:p>
      <w:pPr>
        <w:pStyle w:val="ListBullet"/>
      </w:pPr>
      <w:r>
        <w:t>global transition scale a_ = 124.7433 in internal acceleration units</w:t>
      </w:r>
    </w:p>
    <w:p>
      <w:pPr>
        <w:pStyle w:val="Heading2"/>
      </w:pPr>
      <w:r>
        <w:t>Results</w:t>
      </w:r>
    </w:p>
    <w:p>
      <w:pPr>
        <w:pStyle w:val="Heading3"/>
      </w:pPr>
      <w:r>
        <w:t>SPARC</w:t>
      </w:r>
    </w:p>
    <w:p>
      <w:pPr>
        <w:pStyle w:val="ListBullet"/>
      </w:pPr>
      <w:r>
        <w:t>holdout mean R^2 = 0.6664</w:t>
      </w:r>
    </w:p>
    <w:p>
      <w:pPr>
        <w:pStyle w:val="ListBullet"/>
      </w:pPr>
      <w:r>
        <w:t>holdout std = 0.1621</w:t>
      </w:r>
    </w:p>
    <w:p>
      <w:pPr>
        <w:pStyle w:val="ListBullet"/>
      </w:pPr>
      <w:r>
        <w:t>full-sample R^2 = 0.8172</w:t>
      </w:r>
    </w:p>
    <w:p>
      <w:pPr>
        <w:pStyle w:val="ListBullet"/>
      </w:pPr>
      <w:r>
        <w:t>full-sample median R^2 = -1.4101</w:t>
      </w:r>
    </w:p>
    <w:p>
      <w:pPr>
        <w:pStyle w:val="Heading3"/>
      </w:pPr>
      <w:r>
        <w:t>Direct Observed External Gate</w:t>
      </w:r>
    </w:p>
    <w:p>
      <w:pPr>
        <w:pStyle w:val="ListBullet"/>
      </w:pPr>
      <w:r>
        <w:t>aggregate R^2 = 0.8209</w:t>
      </w:r>
    </w:p>
    <w:p>
      <w:pPr>
        <w:pStyle w:val="ListBullet"/>
      </w:pPr>
      <w:r>
        <w:t>median R^2 = -6.2341</w:t>
      </w:r>
    </w:p>
    <w:p>
      <w:pPr>
        <w:pStyle w:val="ListBullet"/>
      </w:pPr>
      <w:r>
        <w:t>MOND aggregate R^2 = 0.8618</w:t>
      </w:r>
    </w:p>
    <w:p>
      <w:pPr>
        <w:pStyle w:val="ListBullet"/>
      </w:pPr>
      <w:r>
        <w:t>baryons-only aggregate R^2 = 0.4628</w:t>
      </w:r>
    </w:p>
    <w:p>
      <w:pPr>
        <w:pStyle w:val="Heading3"/>
      </w:pPr>
      <w:r>
        <w:t>THINGS/Leroy Sensitivity Sets</w:t>
      </w:r>
    </w:p>
    <w:p>
      <w:pPr>
        <w:pStyle w:val="ListBullet"/>
      </w:pPr>
      <w:r>
        <w:t>9-gal parametric sensitivity aggregate R^2 = 0.1047</w:t>
      </w:r>
    </w:p>
    <w:p>
      <w:pPr>
        <w:pStyle w:val="ListBullet"/>
      </w:pPr>
      <w:r>
        <w:t>11-gal imputed sensitivity aggregate R^2 = 0.1978</w:t>
      </w:r>
    </w:p>
    <w:p>
      <w:pPr>
        <w:pStyle w:val="Heading3"/>
      </w:pPr>
      <w:r>
        <w:t>Analytic Structure Check</w:t>
      </w:r>
    </w:p>
    <w:p>
      <w:pPr>
        <w:pStyle w:val="ListBullet"/>
      </w:pPr>
      <w:r>
        <w:t>low-acceleration RAR slope = 0.6226</w:t>
      </w:r>
    </w:p>
    <w:p>
      <w:pPr>
        <w:jc w:val="both"/>
      </w:pPr>
      <w:r>
        <w:t>This single slope is not enough. The full triple-test still fails because the branch misses the full BTFR and MDAR structure under the strict suite.</w:t>
      </w:r>
    </w:p>
    <w:p>
      <w:pPr>
        <w:pStyle w:val="Heading2"/>
      </w:pPr>
      <w:r>
        <w:t>Interpretation</w:t>
      </w:r>
    </w:p>
    <w:p>
      <w:pPr>
        <w:jc w:val="both"/>
      </w:pPr>
      <w:r>
        <w:t>This branch matters because it cleanly separates two problems that had been mixed together:</w:t>
      </w:r>
    </w:p>
    <w:p>
      <w:pPr>
        <w:pStyle w:val="ListNumber"/>
      </w:pPr>
      <w:r>
        <w:t>deriving the bend shape,</w:t>
      </w:r>
    </w:p>
    <w:p>
      <w:pPr>
        <w:pStyle w:val="ListNumber"/>
      </w:pPr>
      <w:r>
        <w:t>deriving the quotient normalization.</w:t>
      </w:r>
    </w:p>
    <w:p>
      <w:pPr>
        <w:jc w:val="both"/>
      </w:pPr>
      <w:r>
        <w:t>The root-law branch partially solves only the first.</w:t>
      </w:r>
    </w:p>
    <w:p>
      <w:pPr>
        <w:jc w:val="both"/>
      </w:pPr>
      <w:r>
        <w:t>It shows that a derivation-first closure can recover the right low-acceleration bend tendency without directly fitting a MOND interpolation function. But the external median collapse shows that deriving the closure while leaving the quotient normalization underived is still insufficient.</w:t>
      </w:r>
    </w:p>
    <w:p>
      <w:pPr>
        <w:pStyle w:val="Heading2"/>
      </w:pPr>
      <w:r>
        <w:t>Bottom Line</w:t>
      </w:r>
    </w:p>
    <w:p>
      <w:pPr>
        <w:jc w:val="both"/>
      </w:pPr>
      <w:r>
        <w:t>This is useful negative progress.</w:t>
      </w:r>
    </w:p>
    <w:p>
      <w:pPr>
        <w:jc w:val="both"/>
      </w:pPr>
      <w:r>
        <w:t>It rules out the hope that the current program only needed a better closure algebra. The next branch must derive the quotient normalization itself, not just the square-root asymptotic closure.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CONSTRAINT-DERIVED ROOT LAW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Constraint-Derived Root Law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