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Core Framework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Status</w:t>
      </w:r>
    </w:p>
    <w:p>
      <w:pPr>
        <w:jc w:val="both"/>
      </w:pPr>
      <w:r>
        <w:t>CSR is the forward framework.</w:t>
      </w:r>
    </w:p>
    <w:p>
      <w:pPr>
        <w:jc w:val="both"/>
      </w:pPr>
      <w:r>
        <w:t>MSQECC is now only the archive label for the earlier programme.</w:t>
      </w:r>
    </w:p>
    <w:p>
      <w:pPr>
        <w:jc w:val="both"/>
      </w:pPr>
      <w:r>
        <w:t>CSR is not a theory of everything and it is not yet a replacement for MOND. It is the narrow mechanism that survived honest elimination.</w:t>
      </w:r>
    </w:p>
    <w:p>
      <w:pPr>
        <w:pStyle w:val="Heading2"/>
      </w:pPr>
      <w:r>
        <w:t>What Is Actually Proved</w:t>
      </w:r>
    </w:p>
    <w:p>
      <w:pPr>
        <w:pStyle w:val="Heading3"/>
      </w:pPr>
      <w:r>
        <w:t>1. T^3 toric-code backbone</w:t>
      </w:r>
    </w:p>
    <w:p>
      <w:pPr>
        <w:jc w:val="both"/>
      </w:pPr>
      <w:r>
        <w:t>The cubic T^3 toric code remains the mathematical base.</w:t>
      </w:r>
    </w:p>
    <w:p>
      <w:pPr>
        <w:jc w:val="both"/>
      </w:pPr>
      <w:r>
        <w:t>That includes the standard encoded-qubit result K = 3 and the stabilizer structure with X-type stars and Z-type plaquettes.</w:t>
      </w:r>
    </w:p>
    <w:p>
      <w:pPr>
        <w:pStyle w:val="Heading3"/>
      </w:pPr>
      <w:r>
        <w:t>2. Anticommuting bridge</w:t>
      </w:r>
    </w:p>
    <w:p>
      <w:pPr>
        <w:jc w:val="both"/>
      </w:pPr>
      <w:r>
        <w:t>The core bridge result survives.</w:t>
      </w:r>
    </w:p>
    <w:p>
      <w:pPr>
        <w:pStyle w:val="ListBullet"/>
      </w:pPr>
      <w:r>
        <w:t>commuting measured/coupled pairs do not give the target Lindblad matter channel</w:t>
      </w:r>
    </w:p>
    <w:p>
      <w:pPr>
        <w:pStyle w:val="ListBullet"/>
      </w:pPr>
      <w:r>
        <w:t>anticommuting measured/coupled pairs do</w:t>
      </w:r>
    </w:p>
    <w:p>
      <w:pPr>
        <w:jc w:val="both"/>
      </w:pPr>
      <w:r>
        <w:t>In the minimal probe calculation, the matter coherence decay is</w:t>
      </w:r>
    </w:p>
    <w:p>
      <w:pPr>
        <w:jc w:val="both"/>
      </w:pPr>
      <w:r>
        <w:t>Gamma = 2 g^2 / kappa</w:t>
      </w:r>
    </w:p>
    <w:p>
      <w:pPr>
        <w:pStyle w:val="Heading3"/>
      </w:pPr>
      <w:r>
        <w:t>3. Full-lattice renormalization</w:t>
      </w:r>
    </w:p>
    <w:p>
      <w:pPr>
        <w:jc w:val="both"/>
      </w:pPr>
      <w:r>
        <w:t>The cubic T^3 extension changes the local rate by a fixed geometry factor.</w:t>
      </w:r>
    </w:p>
    <w:p>
      <w:pPr>
        <w:jc w:val="both"/>
      </w:pPr>
      <w:r>
        <w:t>Under uniform Z-plaquette monitoring the local bridge becomes</w:t>
      </w:r>
    </w:p>
    <w:p>
      <w:pPr>
        <w:jc w:val="both"/>
      </w:pPr>
      <w:r>
        <w:t>d rho_m / dt = (g^2 / (4 kappa)) Dsigma_z</w:t>
      </w:r>
    </w:p>
    <w:p>
      <w:pPr>
        <w:jc w:val="both"/>
      </w:pPr>
      <w:r>
        <w:t>with</w:t>
      </w:r>
    </w:p>
    <w:p>
      <w:pPr>
        <w:jc w:val="both"/>
      </w:pPr>
      <w:r>
        <w:t>Gamma_full = g^2 / (2 kappa)</w:t>
      </w:r>
    </w:p>
    <w:p>
      <w:pPr>
        <w:pStyle w:val="Heading3"/>
      </w:pPr>
      <w:r>
        <w:t>4. Open-systems audit</w:t>
      </w:r>
    </w:p>
    <w:p>
      <w:pPr>
        <w:jc w:val="both"/>
      </w:pPr>
      <w:r>
        <w:t>The surviving bridge and relaxation generators pass the effective GKLS audit at the level currently claimed.</w:t>
      </w:r>
    </w:p>
    <w:p>
      <w:pPr>
        <w:pStyle w:val="Heading3"/>
      </w:pPr>
      <w:r>
        <w:t>5. Code-side relaxation candidate</w:t>
      </w:r>
    </w:p>
    <w:p>
      <w:pPr>
        <w:jc w:val="both"/>
      </w:pPr>
      <w:r>
        <w:t>A second code-side rate is derivable from a damped auxiliary syndrome-reset mode.</w:t>
      </w:r>
    </w:p>
    <w:p>
      <w:pPr>
        <w:jc w:val="both"/>
      </w:pPr>
      <w:r>
        <w:t>lambda_eff = 2 J^2 / kappa</w:t>
      </w:r>
    </w:p>
    <w:p>
      <w:pPr>
        <w:pStyle w:val="Heading3"/>
      </w:pPr>
      <w:r>
        <w:t>6. Real hardware bridge realization</w:t>
      </w:r>
    </w:p>
    <w:p>
      <w:pPr>
        <w:jc w:val="both"/>
      </w:pPr>
      <w:r>
        <w:t>A direct IBM hardware bridge test exists and supports the narrow claim that the bridge is physically realizable on real hardware.</w:t>
      </w:r>
    </w:p>
    <w:p>
      <w:pPr>
        <w:pStyle w:val="Heading3"/>
      </w:pPr>
      <w:r>
        <w:t>7. Real hardware relaxation clue</w:t>
      </w:r>
    </w:p>
    <w:p>
      <w:pPr>
        <w:jc w:val="both"/>
      </w:pPr>
      <w:r>
        <w:t>A narrowed IBM experiment exists for the reset-channel branch.</w:t>
      </w:r>
    </w:p>
    <w:p>
      <w:pPr>
        <w:jc w:val="both"/>
      </w:pPr>
      <w:r>
        <w:t>This remains a clue, not a precision extraction.</w:t>
      </w:r>
    </w:p>
    <w:p>
      <w:pPr>
        <w:pStyle w:val="Heading3"/>
      </w:pPr>
      <w:r>
        <w:t>8. Alpha coincidence survives the cheap numerology objection</w:t>
      </w:r>
    </w:p>
    <w:p>
      <w:pPr>
        <w:jc w:val="both"/>
      </w:pPr>
      <w:r>
        <w:t>4 pi^3 + pi^2 + pi remains the unique hit below 1e-4 relative error in the tested small-integer family up to coefficient limit 30.</w:t>
      </w:r>
    </w:p>
    <w:p>
      <w:pPr>
        <w:jc w:val="both"/>
      </w:pPr>
      <w:r>
        <w:t>That keeps the alpha problem alive.</w:t>
      </w:r>
    </w:p>
    <w:p>
      <w:pPr>
        <w:jc w:val="both"/>
      </w:pPr>
      <w:r>
        <w:t>It does not make alpha derived.</w:t>
      </w:r>
    </w:p>
    <w:p>
      <w:pPr>
        <w:pStyle w:val="Heading2"/>
      </w:pPr>
      <w:r>
        <w:t>What Is Proved False Or Unsupported</w:t>
      </w:r>
    </w:p>
    <w:p>
      <w:pPr>
        <w:pStyle w:val="Heading3"/>
      </w:pPr>
      <w:r>
        <w:t>1. Current galaxy law as a derived CSR law</w:t>
      </w:r>
    </w:p>
    <w:p>
      <w:pPr>
        <w:jc w:val="both"/>
      </w:pPr>
      <w:r>
        <w:t>That is not established.</w:t>
      </w:r>
    </w:p>
    <w:p>
      <w:pPr>
        <w:pStyle w:val="Heading3"/>
      </w:pPr>
      <w:r>
        <w:t>2. Minimal Hermitian bridge as a direct galaxy kernel</w:t>
      </w:r>
    </w:p>
    <w:p>
      <w:pPr>
        <w:jc w:val="both"/>
      </w:pPr>
      <w:r>
        <w:t>The semiclassical no-go closes this door.</w:t>
      </w:r>
    </w:p>
    <w:p>
      <w:pPr>
        <w:pStyle w:val="Heading3"/>
      </w:pPr>
      <w:r>
        <w:t>3. First tested momentum-carrying channel families as galaxy kernels</w:t>
      </w:r>
    </w:p>
    <w:p>
      <w:pPr>
        <w:jc w:val="both"/>
      </w:pPr>
      <w:r>
        <w:t>The first tested non-Hermitian, retarded, and collective classes produce drag, kicks, or damping rather than a conservative static orbital kernel.</w:t>
      </w:r>
    </w:p>
    <w:p>
      <w:pPr>
        <w:pStyle w:val="Heading3"/>
      </w:pPr>
      <w:r>
        <w:t>4. Earlier local and near-local closure families as final laws</w:t>
      </w:r>
    </w:p>
    <w:p>
      <w:pPr>
        <w:jc w:val="both"/>
      </w:pPr>
      <w:r>
        <w:t>The explicit Jeans closure, constant-dispersion family, disk-tensor family, nonlocal scalar smoothing family, orbital-mixing transition family, and first operator reductions all remain below MOND and/or collapse to family boundaries.</w:t>
      </w:r>
    </w:p>
    <w:p>
      <w:pPr>
        <w:pStyle w:val="Heading2"/>
      </w:pPr>
      <w:r>
        <w:t>Operator-Level Branches</w:t>
      </w:r>
    </w:p>
    <w:p>
      <w:pPr>
        <w:pStyle w:val="Heading3"/>
      </w:pPr>
      <w:r>
        <w:t>Scalar weighted Hodge surrogate</w:t>
      </w:r>
    </w:p>
    <w:p>
      <w:pPr>
        <w:pStyle w:val="ListBullet"/>
      </w:pPr>
      <w:r>
        <w:t>SPARC holdout mean R^2 = 0.7231</w:t>
      </w:r>
    </w:p>
    <w:p>
      <w:pPr>
        <w:pStyle w:val="ListBullet"/>
      </w:pPr>
      <w:r>
        <w:t>first real paired THINGS/Leroy aggregate R^2 = 0.1682</w:t>
      </w:r>
    </w:p>
    <w:p>
      <w:pPr>
        <w:pStyle w:val="ListBullet"/>
      </w:pPr>
      <w:r>
        <w:t>fails the structural triple test</w:t>
      </w:r>
    </w:p>
    <w:p>
      <w:pPr>
        <w:pStyle w:val="Heading3"/>
      </w:pPr>
      <w:r>
        <w:t>Tensorial Hodge surrogate</w:t>
      </w:r>
    </w:p>
    <w:p>
      <w:pPr>
        <w:pStyle w:val="ListBullet"/>
      </w:pPr>
      <w:r>
        <w:t>SPARC holdout mean R^2 = 0.7241</w:t>
      </w:r>
    </w:p>
    <w:p>
      <w:pPr>
        <w:pStyle w:val="ListBullet"/>
      </w:pPr>
      <w:r>
        <w:t>first real paired THINGS/Leroy aggregate R^2 = 0.1707</w:t>
      </w:r>
    </w:p>
    <w:p>
      <w:pPr>
        <w:pStyle w:val="ListBullet"/>
      </w:pPr>
      <w:r>
        <w:t>fails the structural triple test</w:t>
      </w:r>
    </w:p>
    <w:p>
      <w:pPr>
        <w:pStyle w:val="Heading3"/>
      </w:pPr>
      <w:r>
        <w:t>Retarded Hodge surrogate</w:t>
      </w:r>
    </w:p>
    <w:p>
      <w:pPr>
        <w:pStyle w:val="ListBullet"/>
      </w:pPr>
      <w:r>
        <w:t>SPARC holdout mean R^2 = 0.8042</w:t>
      </w:r>
    </w:p>
    <w:p>
      <w:pPr>
        <w:pStyle w:val="ListBullet"/>
      </w:pPr>
      <w:r>
        <w:t>first real paired THINGS/Leroy aggregate R^2 = 0.1182</w:t>
      </w:r>
    </w:p>
    <w:p>
      <w:pPr>
        <w:pStyle w:val="ListBullet"/>
      </w:pPr>
      <w:r>
        <w:t>improves failure shape but still fails the aggregate gate</w:t>
      </w:r>
    </w:p>
    <w:p>
      <w:pPr>
        <w:pStyle w:val="Heading3"/>
      </w:pPr>
      <w:r>
        <w:t>Scale-invariant constraint template</w:t>
      </w:r>
    </w:p>
    <w:p>
      <w:pPr>
        <w:pStyle w:val="ListBullet"/>
      </w:pPr>
      <w:r>
        <w:t>SPARC holdout mean R^2 = 0.9215</w:t>
      </w:r>
    </w:p>
    <w:p>
      <w:pPr>
        <w:pStyle w:val="ListBullet"/>
      </w:pPr>
      <w:r>
        <w:t>paired THINGS/Leroy aggregate R^2 = 0.4170</w:t>
      </w:r>
    </w:p>
    <w:p>
      <w:pPr>
        <w:pStyle w:val="ListBullet"/>
      </w:pPr>
      <w:r>
        <w:t>RAR low-acceleration slope 0.598</w:t>
      </w:r>
    </w:p>
    <w:p>
      <w:pPr>
        <w:pStyle w:val="ListBullet"/>
      </w:pPr>
      <w:r>
        <w:t>BTFR slope 3.749</w:t>
      </w:r>
    </w:p>
    <w:p>
      <w:pPr>
        <w:pStyle w:val="ListBullet"/>
      </w:pPr>
      <w:r>
        <w:t>MDAR low-acceleration slope -0.402</w:t>
      </w:r>
    </w:p>
    <w:p>
      <w:pPr>
        <w:pStyle w:val="ListBullet"/>
      </w:pPr>
      <w:r>
        <w:t>best-fit CSR modulation eta = 0.00363</w:t>
      </w:r>
    </w:p>
    <w:p>
      <w:pPr>
        <w:jc w:val="both"/>
      </w:pPr>
      <w:r>
        <w:t>Reading:</w:t>
      </w:r>
    </w:p>
    <w:p>
      <w:pPr>
        <w:jc w:val="both"/>
      </w:pPr>
      <w:r>
        <w:t>This is the first branch to match MOND-level aggregate external performance.</w:t>
      </w:r>
    </w:p>
    <w:p>
      <w:pPr>
        <w:jc w:val="both"/>
      </w:pPr>
      <w:r>
        <w:t>But it does so by imposing the required low-acceleration structure explicitly. So it is a design constraint template, not a derived CSR law.</w:t>
      </w:r>
    </w:p>
    <w:p>
      <w:pPr>
        <w:pStyle w:val="Heading2"/>
      </w:pPr>
      <w:r>
        <w:t>External Data Position</w:t>
      </w:r>
    </w:p>
    <w:p>
      <w:pPr>
        <w:jc w:val="both"/>
      </w:pPr>
      <w:r>
        <w:t>The external target list is now frozen on the THINGS/Leroy branch.</w:t>
      </w:r>
    </w:p>
    <w:p>
      <w:pPr>
        <w:jc w:val="both"/>
      </w:pPr>
      <w:r>
        <w:t>Primary-source benchmark:</w:t>
      </w:r>
    </w:p>
    <w:p>
      <w:pPr>
        <w:pStyle w:val="ListBullet"/>
      </w:pPr>
      <w:r>
        <w:t>9 / 11 usable galaxies</w:t>
      </w:r>
    </w:p>
    <w:p>
      <w:pPr>
        <w:pStyle w:val="ListBullet"/>
      </w:pPr>
      <w:r>
        <w:t>exact Leroy fit form frozen</w:t>
      </w:r>
    </w:p>
    <w:p>
      <w:pPr>
        <w:jc w:val="both"/>
      </w:pPr>
      <w:r>
        <w:t>Sensitivity benchmark:</w:t>
      </w:r>
    </w:p>
    <w:p>
      <w:pPr>
        <w:pStyle w:val="ListBullet"/>
      </w:pPr>
      <w:r>
        <w:t>11 / 11 using bounded imputed handles for n4449 and n3077</w:t>
      </w:r>
    </w:p>
    <w:p>
      <w:pPr>
        <w:pStyle w:val="ListBullet"/>
      </w:pPr>
      <w:r>
        <w:t>useful for robustness, not as the main external claim</w:t>
      </w:r>
    </w:p>
    <w:p>
      <w:pPr>
        <w:jc w:val="both"/>
      </w:pPr>
      <w:r>
        <w:t>The main external message is now sharper:</w:t>
      </w:r>
    </w:p>
    <w:p>
      <w:pPr>
        <w:jc w:val="both"/>
      </w:pPr>
      <w:r>
        <w:t>current operator reductions are still well below MOND unless the low-acceleration structure is imposed directly.</w:t>
      </w:r>
    </w:p>
    <w:p>
      <w:pPr>
        <w:pStyle w:val="Heading2"/>
      </w:pPr>
      <w:r>
        <w:t>Constants Side</w:t>
      </w:r>
    </w:p>
    <w:p>
      <w:pPr>
        <w:jc w:val="both"/>
      </w:pPr>
      <w:r>
        <w:t>Two shortcut routes fail cleanly and a third still misses badly.</w:t>
      </w:r>
    </w:p>
    <w:p>
      <w:pPr>
        <w:pStyle w:val="Heading3"/>
      </w:pPr>
      <w:r>
        <w:t>Threshold shortcut</w:t>
      </w:r>
    </w:p>
    <w:p>
      <w:pPr>
        <w:jc w:val="both"/>
      </w:pPr>
      <w:r>
        <w:t>Threshold-only weighting is underdetermined.</w:t>
      </w:r>
    </w:p>
    <w:p>
      <w:pPr>
        <w:pStyle w:val="Heading3"/>
      </w:pPr>
      <w:r>
        <w:t>Filter shortcut</w:t>
      </w:r>
    </w:p>
    <w:p>
      <w:pPr>
        <w:jc w:val="both"/>
      </w:pPr>
      <w:r>
        <w:t>A naive logical filter fails.</w:t>
      </w:r>
    </w:p>
    <w:p>
      <w:pPr>
        <w:pStyle w:val="Heading3"/>
      </w:pPr>
      <w:r>
        <w:t>Richer quotient filter</w:t>
      </w:r>
    </w:p>
    <w:p>
      <w:pPr>
        <w:jc w:val="both"/>
      </w:pPr>
      <w:r>
        <w:t>A richer dual monitored quotient filter improves directionally but still misses alpha badly.</w:t>
      </w:r>
    </w:p>
    <w:p>
      <w:pPr>
        <w:jc w:val="both"/>
      </w:pPr>
      <w:r>
        <w:t>Best richer-filter weights:</w:t>
      </w:r>
    </w:p>
    <w:p>
      <w:pPr>
        <w:pStyle w:val="ListBullet"/>
      </w:pPr>
      <w:r>
        <w:t>[0.5381, 0.3334, 0.1285]</w:t>
      </w:r>
    </w:p>
    <w:p>
      <w:pPr>
        <w:jc w:val="both"/>
      </w:pPr>
      <w:r>
        <w:t>Target:</w:t>
      </w:r>
    </w:p>
    <w:p>
      <w:pPr>
        <w:pStyle w:val="ListBullet"/>
      </w:pPr>
      <w:r>
        <w:t>[0.5, 0.25, 0.5]</w:t>
      </w:r>
    </w:p>
    <w:p>
      <w:pPr>
        <w:jc w:val="both"/>
      </w:pPr>
      <w:r>
        <w:t>So the alpha branch still lacks the right canonical measure.</w:t>
      </w:r>
    </w:p>
    <w:p>
      <w:pPr>
        <w:pStyle w:val="Heading2"/>
      </w:pPr>
      <w:r>
        <w:t>Best Current Continuum Direction</w:t>
      </w:r>
    </w:p>
    <w:p>
      <w:pPr>
        <w:jc w:val="both"/>
      </w:pPr>
      <w:r>
        <w:t>The best surviving continuum direction is still the narrower one:</w:t>
      </w:r>
    </w:p>
    <w:p>
      <w:pPr>
        <w:pStyle w:val="ListBullet"/>
      </w:pPr>
      <w:r>
        <w:t>open monitored abelian BF or Hodge-type continuum completion of the T^3 CSS backbone</w:t>
      </w:r>
    </w:p>
    <w:p>
      <w:pPr>
        <w:pStyle w:val="ListBullet"/>
      </w:pPr>
      <w:r>
        <w:t>quotient or Green response on the physical sector space</w:t>
      </w:r>
    </w:p>
    <w:p>
      <w:pPr>
        <w:pStyle w:val="ListBullet"/>
      </w:pPr>
      <w:r>
        <w:t>canonical measure induced by monitored dynamics rather than threshold or thermal shortcuts</w:t>
      </w:r>
    </w:p>
    <w:p>
      <w:pPr>
        <w:jc w:val="both"/>
      </w:pPr>
      <w:r>
        <w:t>What is not established:</w:t>
      </w:r>
    </w:p>
    <w:p>
      <w:pPr>
        <w:pStyle w:val="ListBullet"/>
      </w:pPr>
      <w:r>
        <w:t>direct Z2 BF equals Plebanski gravity</w:t>
      </w:r>
    </w:p>
    <w:p>
      <w:pPr>
        <w:pStyle w:val="ListBullet"/>
      </w:pPr>
      <w:r>
        <w:t>measurement backaction already generates simplicity constraints</w:t>
      </w:r>
    </w:p>
    <w:p>
      <w:pPr>
        <w:pStyle w:val="ListBullet"/>
      </w:pPr>
      <w:r>
        <w:t>Immirzi directly determines alpha</w:t>
      </w:r>
    </w:p>
    <w:p>
      <w:pPr>
        <w:pStyle w:val="ListBullet"/>
      </w:pPr>
      <w:r>
        <w:t>S^1 x T^3 with period 1/kappa as the canonical partition-function object</w:t>
      </w:r>
    </w:p>
    <w:p>
      <w:pPr>
        <w:pStyle w:val="Heading2"/>
      </w:pPr>
      <w:r>
        <w:t>How To Shorten The Search</w:t>
      </w:r>
    </w:p>
    <w:p>
      <w:pPr>
        <w:jc w:val="both"/>
      </w:pPr>
      <w:r>
        <w:t>A fast funnel is now part of the method.</w:t>
      </w:r>
    </w:p>
    <w:p>
      <w:pPr>
        <w:jc w:val="both"/>
      </w:pPr>
      <w:r>
        <w:t>Use cheap gates in order:</w:t>
      </w:r>
    </w:p>
    <w:p>
      <w:pPr>
        <w:pStyle w:val="ListNumber"/>
      </w:pPr>
      <w:r>
        <w:t>RAR, BTFR, MDAR triple test</w:t>
      </w:r>
    </w:p>
    <w:p>
      <w:pPr>
        <w:pStyle w:val="ListNumber"/>
      </w:pPr>
      <w:r>
        <w:t>SPARC holdout gate</w:t>
      </w:r>
    </w:p>
    <w:p>
      <w:pPr>
        <w:pStyle w:val="ListNumber"/>
      </w:pPr>
      <w:r>
        <w:t>paired external aggregate gate</w:t>
      </w:r>
    </w:p>
    <w:p>
      <w:pPr>
        <w:pStyle w:val="ListNumber"/>
      </w:pPr>
      <w:r>
        <w:t>paired external median stability gate</w:t>
      </w:r>
    </w:p>
    <w:p>
      <w:pPr>
        <w:jc w:val="both"/>
      </w:pPr>
      <w:r>
        <w:t>Current dispositions:</w:t>
      </w:r>
    </w:p>
    <w:p>
      <w:pPr>
        <w:pStyle w:val="ListBullet"/>
      </w:pPr>
      <w:r>
        <w:t>jeans: kill</w:t>
      </w:r>
    </w:p>
    <w:p>
      <w:pPr>
        <w:pStyle w:val="ListBullet"/>
      </w:pPr>
      <w:r>
        <w:t>weighted_hodge: kill</w:t>
      </w:r>
    </w:p>
    <w:p>
      <w:pPr>
        <w:pStyle w:val="ListBullet"/>
      </w:pPr>
      <w:r>
        <w:t>tensorial_hodge: kill</w:t>
      </w:r>
    </w:p>
    <w:p>
      <w:pPr>
        <w:pStyle w:val="ListBullet"/>
      </w:pPr>
      <w:r>
        <w:t>retarded_hodge: kill in current form</w:t>
      </w:r>
    </w:p>
    <w:p>
      <w:pPr>
        <w:pStyle w:val="ListBullet"/>
      </w:pPr>
      <w:r>
        <w:t>scale_invariant_operator: hold as constraint template</w:t>
      </w:r>
    </w:p>
    <w:p>
      <w:pPr>
        <w:jc w:val="both"/>
      </w:pPr>
      <w:r>
        <w:t>This does not replace physics.</w:t>
      </w:r>
    </w:p>
    <w:p>
      <w:pPr>
        <w:jc w:val="both"/>
      </w:pPr>
      <w:r>
        <w:t>It prevents wasted cycles.</w:t>
      </w:r>
    </w:p>
    <w:p>
      <w:pPr>
        <w:pStyle w:val="Heading2"/>
      </w:pPr>
      <w:r>
        <w:t>Exact Bottleneck</w:t>
      </w:r>
    </w:p>
    <w:p>
      <w:pPr>
        <w:jc w:val="both"/>
      </w:pPr>
      <w:r>
        <w:t>The bridge side is now much tighter than the galaxy and constants sides.</w:t>
      </w:r>
    </w:p>
    <w:p>
      <w:pPr>
        <w:jc w:val="both"/>
      </w:pPr>
      <w:r>
        <w:t>The missing object is not another local scalar parameterization.</w:t>
      </w:r>
    </w:p>
    <w:p>
      <w:pPr>
        <w:jc w:val="both"/>
      </w:pPr>
      <w:r>
        <w:t>It is a viable macroscopic response operator and induced measure that turn:</w:t>
      </w:r>
    </w:p>
    <w:p>
      <w:pPr>
        <w:pStyle w:val="ListBullet"/>
      </w:pPr>
      <w:r>
        <w:t>the proved diffusion source</w:t>
      </w:r>
    </w:p>
    <w:p>
      <w:pPr>
        <w:pStyle w:val="ListBullet"/>
      </w:pPr>
      <w:r>
        <w:t>the code-side relaxation candidate</w:t>
      </w:r>
    </w:p>
    <w:p>
      <w:pPr>
        <w:pStyle w:val="ListBullet"/>
      </w:pPr>
      <w:r>
        <w:t>and the surviving hardware clue</w:t>
      </w:r>
    </w:p>
    <w:p>
      <w:pPr>
        <w:jc w:val="both"/>
      </w:pPr>
      <w:r>
        <w:t>into</w:t>
      </w:r>
    </w:p>
    <w:p>
      <w:pPr>
        <w:pStyle w:val="ListBullet"/>
      </w:pPr>
      <w:r>
        <w:t>a stationary orbital response that is conservative at galaxy scale</w:t>
      </w:r>
    </w:p>
    <w:p>
      <w:pPr>
        <w:pStyle w:val="ListBullet"/>
      </w:pPr>
      <w:r>
        <w:t>a derived transition scale and low-acceleration bending law</w:t>
      </w:r>
    </w:p>
    <w:p>
      <w:pPr>
        <w:pStyle w:val="ListBullet"/>
      </w:pPr>
      <w:r>
        <w:t>and a canonical sector measure more structured than threshold or low-dimensional logical filtering</w:t>
      </w:r>
    </w:p>
    <w:p>
      <w:pPr>
        <w:pStyle w:val="Heading2"/>
      </w:pPr>
      <w:r>
        <w:t>Bottom Line</w:t>
      </w:r>
    </w:p>
    <w:p>
      <w:pPr>
        <w:jc w:val="both"/>
      </w:pPr>
      <w:r>
        <w:t>CSR is now narrow enough to be scientifically legible.</w:t>
      </w:r>
    </w:p>
    <w:p>
      <w:pPr>
        <w:jc w:val="both"/>
      </w:pPr>
      <w:r>
        <w:t>What survives is:</w:t>
      </w:r>
    </w:p>
    <w:p>
      <w:pPr>
        <w:pStyle w:val="ListBullet"/>
      </w:pPr>
      <w:r>
        <w:t>a real bridge mechanism</w:t>
      </w:r>
    </w:p>
    <w:p>
      <w:pPr>
        <w:pStyle w:val="ListBullet"/>
      </w:pPr>
      <w:r>
        <w:t>a real lattice renormalization</w:t>
      </w:r>
    </w:p>
    <w:p>
      <w:pPr>
        <w:pStyle w:val="ListBullet"/>
      </w:pPr>
      <w:r>
        <w:t>a real open-systems audit</w:t>
      </w:r>
    </w:p>
    <w:p>
      <w:pPr>
        <w:pStyle w:val="ListBullet"/>
      </w:pPr>
      <w:r>
        <w:t>a real code-side relaxation candidate</w:t>
      </w:r>
    </w:p>
    <w:p>
      <w:pPr>
        <w:pStyle w:val="ListBullet"/>
      </w:pPr>
      <w:r>
        <w:t>real operator-level conservative surrogates</w:t>
      </w:r>
    </w:p>
    <w:p>
      <w:pPr>
        <w:pStyle w:val="ListBullet"/>
      </w:pPr>
      <w:r>
        <w:t>a frozen real paired non-SPARC benchmark</w:t>
      </w:r>
    </w:p>
    <w:p>
      <w:pPr>
        <w:pStyle w:val="ListBullet"/>
      </w:pPr>
      <w:r>
        <w:t>a structural triple test</w:t>
      </w:r>
    </w:p>
    <w:p>
      <w:pPr>
        <w:pStyle w:val="ListBullet"/>
      </w:pPr>
      <w:r>
        <w:t>a fast pruning funnel</w:t>
      </w:r>
    </w:p>
    <w:p>
      <w:pPr>
        <w:pStyle w:val="ListBullet"/>
      </w:pPr>
      <w:r>
        <w:t>and one high-value constraint template that shows what the missing derivation has to reproduce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CORE FRAMEWORK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Core Framework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