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0" w:after="240"/>
        <w:jc w:val="center"/>
      </w:pPr>
      <w:r>
        <w:rPr>
          <w:rFonts w:ascii="Cambria" w:hAnsi="Cambria"/>
          <w:b/>
          <w:color w:val="16324F"/>
          <w:sz w:val="48"/>
        </w:rPr>
        <w:t>CSR Core Framework Line-By-Line Review</w:t>
      </w:r>
    </w:p>
    <w:p>
      <w:pPr>
        <w:spacing w:after="80"/>
        <w:jc w:val="center"/>
      </w:pPr>
      <w:r>
        <w:rPr>
          <w:rFonts w:ascii="Cambria" w:hAnsi="Cambria"/>
          <w:i/>
          <w:color w:val="6B7280"/>
          <w:sz w:val="22"/>
        </w:rPr>
        <w:t>Corrected audit export</w:t>
      </w:r>
    </w:p>
    <w:p>
      <w:pPr>
        <w:spacing w:after="360"/>
        <w:jc w:val="center"/>
      </w:pPr>
      <w:r>
        <w:rPr>
          <w:rFonts w:ascii="Cambria" w:hAnsi="Cambria"/>
          <w:color w:val="6B7280"/>
          <w:sz w:val="21"/>
        </w:rPr>
        <w:t>March 10, 2026</w:t>
      </w:r>
    </w:p>
    <w:p>
      <w:pPr>
        <w:spacing w:after="0"/>
        <w:ind w:left="1440" w:right="1440"/>
        <w:jc w:val="center"/>
      </w:pPr>
      <w:r>
        <w:rPr>
          <w:rFonts w:ascii="Cambria" w:hAnsi="Cambria"/>
          <w:color w:val="384452"/>
          <w:sz w:val="20"/>
        </w:rPr>
        <w:t>Presentation edition prepared from independently rerun scripts and live verification tests.</w:t>
      </w:r>
    </w:p>
    <w:p>
      <w:r>
        <w:br w:type="page"/>
      </w:r>
    </w:p>
    <w:p>
      <w:pPr>
        <w:pStyle w:val="Heading2"/>
      </w:pPr>
      <w:r>
        <w:t>Purpose</w:t>
      </w:r>
    </w:p>
    <w:p>
      <w:pPr>
        <w:jc w:val="both"/>
      </w:pPr>
      <w:r>
        <w:t>This is a line-by-line scientific review of the imported CSR_Core_Framework.txt note from the recent zip bundle.</w:t>
      </w:r>
    </w:p>
    <w:p>
      <w:pPr>
        <w:jc w:val="both"/>
      </w:pPr>
      <w:r>
        <w:t>The purpose is not to defend the note. It is to mark where the imported wording still overstates what CSR has actually derived.</w:t>
      </w:r>
    </w:p>
    <w:p>
      <w:pPr>
        <w:pStyle w:val="Heading2"/>
      </w:pPr>
      <w:r>
        <w:t>Review</w:t>
      </w:r>
    </w:p>
    <w:p>
      <w:pPr>
        <w:pStyle w:val="Heading3"/>
      </w:pPr>
      <w:r>
        <w:t>Lines 41-42</w:t>
      </w:r>
    </w:p>
    <w:p>
      <w:pPr>
        <w:jc w:val="both"/>
      </w:pPr>
      <w:r>
        <w:t>Claim: the dark sector of gravity is the decoherence back-action of spacetime's syndrome measurement on baryonic matter, described as friction.</w:t>
      </w:r>
    </w:p>
    <w:p>
      <w:pPr>
        <w:jc w:val="both"/>
      </w:pPr>
      <w:r>
        <w:t>Status: too strong.</w:t>
      </w:r>
    </w:p>
    <w:p>
      <w:pPr>
        <w:jc w:val="both"/>
      </w:pPr>
      <w:r>
        <w:t>What is actually proved is narrower:</w:t>
      </w:r>
    </w:p>
    <w:p>
      <w:pPr>
        <w:pStyle w:val="ListBullet"/>
      </w:pPr>
      <w:r>
        <w:t>the anticommuting bridge gives a real matter dephasing channel</w:t>
      </w:r>
    </w:p>
    <w:p>
      <w:pPr>
        <w:pStyle w:val="ListBullet"/>
      </w:pPr>
      <w:r>
        <w:t>the Hermitian direct-force route does not give a deterministic orbital force</w:t>
      </w:r>
    </w:p>
    <w:p>
      <w:pPr>
        <w:pStyle w:val="ListBullet"/>
      </w:pPr>
      <w:r>
        <w:t>the surviving macroscopic route is stress, not friction in the simple force-law sense</w:t>
      </w:r>
    </w:p>
    <w:p>
      <w:pPr>
        <w:jc w:val="both"/>
      </w:pPr>
      <w:r>
        <w:t>So these lines should be rewritten as a target interpretation, not as an established galaxy mechanism.</w:t>
      </w:r>
    </w:p>
    <w:p>
      <w:pPr>
        <w:pStyle w:val="Heading3"/>
      </w:pPr>
      <w:r>
        <w:t>Lines 61-65</w:t>
      </w:r>
    </w:p>
    <w:p>
      <w:pPr>
        <w:jc w:val="both"/>
      </w:pPr>
      <w:r>
        <w:t>Claim: a_CSR = g^2 / kappa = g^2 / H(z) and this is the central claim of CSR.</w:t>
      </w:r>
    </w:p>
    <w:p>
      <w:pPr>
        <w:jc w:val="both"/>
      </w:pPr>
      <w:r>
        <w:t>Status: not derived.</w:t>
      </w:r>
    </w:p>
    <w:p>
      <w:pPr>
        <w:jc w:val="both"/>
      </w:pPr>
      <w:r>
        <w:t>The bridge gives a coherence-decay rate. It does not yet give an astrophysical acceleration scale.</w:t>
      </w:r>
    </w:p>
    <w:p>
      <w:pPr>
        <w:jc w:val="both"/>
      </w:pPr>
      <w:r>
        <w:t>That dimensional map is still open. So these lines currently state a target, not a result.</w:t>
      </w:r>
    </w:p>
    <w:p>
      <w:pPr>
        <w:pStyle w:val="Heading3"/>
      </w:pPr>
      <w:r>
        <w:t>Lines 69-70 and 75-77</w:t>
      </w:r>
    </w:p>
    <w:p>
      <w:pPr>
        <w:jc w:val="both"/>
      </w:pPr>
      <w:r>
        <w:t>Claim: CSR currently scores R^2 = 0.824 on SPARC.</w:t>
      </w:r>
    </w:p>
    <w:p>
      <w:pPr>
        <w:jc w:val="both"/>
      </w:pPr>
      <w:r>
        <w:t>Status: needs splitting.</w:t>
      </w:r>
    </w:p>
    <w:p>
      <w:pPr>
        <w:jc w:val="both"/>
      </w:pPr>
      <w:r>
        <w:t>That 0.824 result belongs to the legacy MSQECC-style phenomenology. It is not the score of the first explicit semiclassical CSR candidate law.</w:t>
      </w:r>
    </w:p>
    <w:p>
      <w:pPr>
        <w:jc w:val="both"/>
      </w:pPr>
      <w:r>
        <w:t>The first explicit semiclassical candidate law currently benchmarks at:</w:t>
      </w:r>
    </w:p>
    <w:p>
      <w:pPr>
        <w:pStyle w:val="ListBullet"/>
      </w:pPr>
      <w:r>
        <w:t>SPARC holdout R^2 = 0.7145 +/- 0.0571</w:t>
      </w:r>
    </w:p>
    <w:p>
      <w:pPr>
        <w:pStyle w:val="ListBullet"/>
      </w:pPr>
      <w:r>
        <w:t>full-sample SPARC R^2 = 0.7116</w:t>
      </w:r>
    </w:p>
    <w:p>
      <w:pPr>
        <w:jc w:val="both"/>
      </w:pPr>
      <w:r>
        <w:t>So the imported text merges legacy phenomenology with current CSR derivation work. That should be separated.</w:t>
      </w:r>
    </w:p>
    <w:p>
      <w:pPr>
        <w:pStyle w:val="Heading3"/>
      </w:pPr>
      <w:r>
        <w:t>Lines 107-108</w:t>
      </w:r>
    </w:p>
    <w:p>
      <w:pPr>
        <w:jc w:val="both"/>
      </w:pPr>
      <w:r>
        <w:t>Claim: the two-qubit result must survive in full T^3 and has not yet been verified.</w:t>
      </w:r>
    </w:p>
    <w:p>
      <w:pPr>
        <w:jc w:val="both"/>
      </w:pPr>
      <w:r>
        <w:t>Status: stale.</w:t>
      </w:r>
    </w:p>
    <w:p>
      <w:pPr>
        <w:jc w:val="both"/>
      </w:pPr>
      <w:r>
        <w:t>That was true earlier. It is no longer the current state.</w:t>
      </w:r>
    </w:p>
    <w:p>
      <w:pPr>
        <w:jc w:val="both"/>
      </w:pPr>
      <w:r>
        <w:t>The local cubic extension now exists and gives a geometry-renormalized rate:</w:t>
      </w:r>
    </w:p>
    <w:p>
      <w:pPr>
        <w:pStyle w:val="ListBullet"/>
      </w:pPr>
      <w:r>
        <w:t>d rho_m / dt = (g^2 / (4 kappa)) Dsigma_z</w:t>
      </w:r>
    </w:p>
    <w:p>
      <w:pPr>
        <w:pStyle w:val="ListBullet"/>
      </w:pPr>
      <w:r>
        <w:t>Gamma_full = g^2 / (2 kappa)</w:t>
      </w:r>
    </w:p>
    <w:p>
      <w:pPr>
        <w:jc w:val="both"/>
      </w:pPr>
      <w:r>
        <w:t>So the correct statement now is not “unverified.” It is “verified locally, but not yet lifted to a macroscopic galaxy derivation.”</w:t>
      </w:r>
    </w:p>
    <w:p>
      <w:pPr>
        <w:pStyle w:val="Heading3"/>
      </w:pPr>
      <w:r>
        <w:t>Lines 114-115</w:t>
      </w:r>
    </w:p>
    <w:p>
      <w:pPr>
        <w:jc w:val="both"/>
      </w:pPr>
      <w:r>
        <w:t>Claim: the next calculation is the Caldeira-Leggett passage from the Lindblad equation to a force law via sigma_z -&gt; delta(r).</w:t>
      </w:r>
    </w:p>
    <w:p>
      <w:pPr>
        <w:jc w:val="both"/>
      </w:pPr>
      <w:r>
        <w:t>Status: partly obsolete.</w:t>
      </w:r>
    </w:p>
    <w:p>
      <w:pPr>
        <w:jc w:val="both"/>
      </w:pPr>
      <w:r>
        <w:t>This step was the right bottleneck when the note was written. But the direct-force route has since been pressure-tested.</w:t>
      </w:r>
    </w:p>
    <w:p>
      <w:pPr>
        <w:jc w:val="both"/>
      </w:pPr>
      <w:r>
        <w:t>Current state:</w:t>
      </w:r>
    </w:p>
    <w:p>
      <w:pPr>
        <w:pStyle w:val="ListBullet"/>
      </w:pPr>
      <w:r>
        <w:t>Hermitian bridge to deterministic force: no-go</w:t>
      </w:r>
    </w:p>
    <w:p>
      <w:pPr>
        <w:pStyle w:val="ListBullet"/>
      </w:pPr>
      <w:r>
        <w:t>Hermitian bridge to momentum diffusion/stress source: alive</w:t>
      </w:r>
    </w:p>
    <w:p>
      <w:pPr>
        <w:jc w:val="both"/>
      </w:pPr>
      <w:r>
        <w:t>So the next derivation target is no longer a direct force extraction. It is the closure relation that turns the stress source into Pi_rr(r) or sigma_r^2(r) in a stationary galaxy model.</w:t>
      </w:r>
    </w:p>
    <w:p>
      <w:pPr>
        <w:pStyle w:val="Heading3"/>
      </w:pPr>
      <w:r>
        <w:t>Lines 122-124 and 129-130</w:t>
      </w:r>
    </w:p>
    <w:p>
      <w:pPr>
        <w:jc w:val="both"/>
      </w:pPr>
      <w:r>
        <w:t>Claim: the external benchmark target is THINGS or LITTLE THINGS.</w:t>
      </w:r>
    </w:p>
    <w:p>
      <w:pPr>
        <w:jc w:val="both"/>
      </w:pPr>
      <w:r>
        <w:t>Status: directionally right, operationally incomplete.</w:t>
      </w:r>
    </w:p>
    <w:p>
      <w:pPr>
        <w:jc w:val="both"/>
      </w:pPr>
      <w:r>
        <w:t>That remains the right external direction. But the downloaded article supplements do not yet provide machine-readable per-radius baryonic decomposition tables.</w:t>
      </w:r>
    </w:p>
    <w:p>
      <w:pPr>
        <w:jc w:val="both"/>
      </w:pPr>
      <w:r>
        <w:t>What the current audit shows is:</w:t>
      </w:r>
    </w:p>
    <w:p>
      <w:pPr>
        <w:pStyle w:val="ListBullet"/>
      </w:pPr>
      <w:r>
        <w:t>THINGS clean non-SPARC candidate pool from downloaded article table: 6 aliases</w:t>
      </w:r>
    </w:p>
    <w:p>
      <w:pPr>
        <w:pStyle w:val="ListBullet"/>
      </w:pPr>
      <w:r>
        <w:t>LITTLE THINGS clean non-SPARC candidate pool from downloaded article tables: 23 aliases</w:t>
      </w:r>
    </w:p>
    <w:p>
      <w:pPr>
        <w:pStyle w:val="ListBullet"/>
      </w:pPr>
      <w:r>
        <w:t>combined clean primary-source candidate pool: 29 aliases</w:t>
      </w:r>
    </w:p>
    <w:p>
      <w:pPr>
        <w:jc w:val="both"/>
      </w:pPr>
      <w:r>
        <w:t>So the benchmark target survives. But it still requires paired baryonic radial profiles from S4G / GALEX-S4G and an M/L calibration path such as DiskMass.</w:t>
      </w:r>
    </w:p>
    <w:p>
      <w:pPr>
        <w:pStyle w:val="Heading2"/>
      </w:pPr>
      <w:r>
        <w:t>What The Review Changes</w:t>
      </w:r>
    </w:p>
    <w:p>
      <w:pPr>
        <w:jc w:val="both"/>
      </w:pPr>
      <w:r>
        <w:t>The imported CSR core note is still useful.</w:t>
      </w:r>
    </w:p>
    <w:p>
      <w:pPr>
        <w:jc w:val="both"/>
      </w:pPr>
      <w:r>
        <w:t>But it should now be read as:</w:t>
      </w:r>
    </w:p>
    <w:p>
      <w:pPr>
        <w:pStyle w:val="ListBullet"/>
      </w:pPr>
      <w:r>
        <w:t>one real bridge derivation</w:t>
      </w:r>
    </w:p>
    <w:p>
      <w:pPr>
        <w:pStyle w:val="ListBullet"/>
      </w:pPr>
      <w:r>
        <w:t>one verified local lattice renormalization</w:t>
      </w:r>
    </w:p>
    <w:p>
      <w:pPr>
        <w:pStyle w:val="ListBullet"/>
      </w:pPr>
      <w:r>
        <w:t>one failed direct-force route</w:t>
      </w:r>
    </w:p>
    <w:p>
      <w:pPr>
        <w:pStyle w:val="ListBullet"/>
      </w:pPr>
      <w:r>
        <w:t>one live stress-route programme</w:t>
      </w:r>
    </w:p>
    <w:p>
      <w:pPr>
        <w:pStyle w:val="ListBullet"/>
      </w:pPr>
      <w:r>
        <w:t>one external-data target that is larger than the local workspace but still requires a baryonic pipeline</w:t>
      </w:r>
    </w:p>
    <w:p>
      <w:pPr>
        <w:pStyle w:val="Heading2"/>
      </w:pPr>
      <w:r>
        <w:t>Bottom Line</w:t>
      </w:r>
    </w:p>
    <w:p>
      <w:pPr>
        <w:jc w:val="both"/>
      </w:pPr>
      <w:r>
        <w:t>The imported note is not wrong in spirit. It is stale at the exact places where CSR has learned the most.</w:t>
      </w:r>
    </w:p>
    <w:p>
      <w:pPr>
        <w:jc w:val="both"/>
      </w:pPr>
      <w:r>
        <w:t>Those places are now explicit:</w:t>
      </w:r>
    </w:p>
    <w:p>
      <w:pPr>
        <w:pStyle w:val="ListBullet"/>
      </w:pPr>
      <w:r>
        <w:t>acceleration mapping still open</w:t>
      </w:r>
    </w:p>
    <w:p>
      <w:pPr>
        <w:pStyle w:val="ListBullet"/>
      </w:pPr>
      <w:r>
        <w:t>full-lattice local bridge no longer open</w:t>
      </w:r>
    </w:p>
    <w:p>
      <w:pPr>
        <w:pStyle w:val="ListBullet"/>
      </w:pPr>
      <w:r>
        <w:t>direct-force route closed</w:t>
      </w:r>
    </w:p>
    <w:p>
      <w:pPr>
        <w:pStyle w:val="ListBullet"/>
      </w:pPr>
      <w:r>
        <w:t>stress-closure route now the real galaxy-law bottleneck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296" w:bottom="1080" w:left="1296" w:header="504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mbria" w:hAnsi="Cambria"/>
        <w:color w:val="6B7280"/>
        <w:sz w:val="17"/>
      </w:rP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mbria" w:hAnsi="Cambria"/>
        <w:b/>
        <w:color w:val="6B7280"/>
        <w:sz w:val="17"/>
      </w:rPr>
      <w:t>CSR CORE FRAMEWORK LINE-BY-LINE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mbria" w:hAnsi="Cambria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/>
      <w:b/>
      <w:bCs/>
      <w:color w:val="1632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/>
      <w:b/>
      <w:bCs/>
      <w:color w:val="1632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mbria" w:hAnsi="Cambria"/>
      <w:b/>
      <w:bCs/>
      <w:color w:val="2C3E5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CSR Core Framework Line-By-Line Review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