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Density-Gradient Galaxy Law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Result</w:t>
      </w:r>
    </w:p>
    <w:p>
      <w:pPr>
        <w:jc w:val="both"/>
      </w:pPr>
      <w:r>
        <w:t>The first direct benchmark of the semiclassical density-gradient CSR law is now complete.</w:t>
      </w:r>
    </w:p>
    <w:p>
      <w:pPr>
        <w:jc w:val="both"/>
      </w:pPr>
      <w:r>
        <w:t>The supporting audit is in csr_density_gradient_galaxy_law.json.</w:t>
      </w:r>
    </w:p>
    <w:p>
      <w:pPr>
        <w:pStyle w:val="Heading2"/>
      </w:pPr>
      <w:r>
        <w:t>Candidate Law</w:t>
      </w:r>
    </w:p>
    <w:p>
      <w:pPr>
        <w:jc w:val="both"/>
      </w:pPr>
      <w:r>
        <w:t>The tested candidate is the law stated in the recent semiclassical derivation note:</w:t>
      </w:r>
    </w:p>
    <w:p>
      <w:pPr>
        <w:jc w:val="both"/>
      </w:pPr>
      <w:r>
        <w:t>v_pred^2 = v_bar^2 + A r |d ln rho_b^eff / dr|</w:t>
      </w:r>
    </w:p>
    <w:p>
      <w:pPr>
        <w:jc w:val="both"/>
      </w:pPr>
      <w:r>
        <w:t>with the sphericalized baryonic density proxy</w:t>
      </w:r>
    </w:p>
    <w:p>
      <w:pPr>
        <w:jc w:val="both"/>
      </w:pPr>
      <w:r>
        <w:t>rho_b^eff = (4 pi G r^2)^(-1) d/dr [r v_bar^2]</w:t>
      </w:r>
    </w:p>
    <w:p>
      <w:pPr>
        <w:jc w:val="both"/>
      </w:pPr>
      <w:r>
        <w:t>This is not a fully derived CSR law yet.</w:t>
      </w:r>
    </w:p>
    <w:p>
      <w:pPr>
        <w:jc w:val="both"/>
      </w:pPr>
      <w:r>
        <w:t>It still depends on the unproved Step 3 identification sigma_z -&gt; baryon density contrast and on using rho_b^eff as a practical cross-dataset proxy.</w:t>
      </w:r>
    </w:p>
    <w:p>
      <w:pPr>
        <w:pStyle w:val="Heading2"/>
      </w:pPr>
      <w:r>
        <w:t>Fitted Scale</w:t>
      </w:r>
    </w:p>
    <w:p>
      <w:pPr>
        <w:jc w:val="both"/>
      </w:pPr>
      <w:r>
        <w:t>Full-sample SPARC fit:</w:t>
      </w:r>
    </w:p>
    <w:p>
      <w:pPr>
        <w:pStyle w:val="ListBullet"/>
      </w:pPr>
      <w:r>
        <w:t>A = 1356.422 km^2 s^-2</w:t>
      </w:r>
    </w:p>
    <w:p>
      <w:pPr>
        <w:pStyle w:val="Heading2"/>
      </w:pPr>
      <w:r>
        <w:t>SPARC Performance</w:t>
      </w:r>
    </w:p>
    <w:p>
      <w:pPr>
        <w:pStyle w:val="Heading3"/>
      </w:pPr>
      <w:r>
        <w:t>10-fold 80/20 holdout</w:t>
      </w:r>
    </w:p>
    <w:p>
      <w:pPr>
        <w:pStyle w:val="ListBullet"/>
      </w:pPr>
      <w:r>
        <w:t>density-gradient CSR: R^2 = 0.7145 +/- 0.0571</w:t>
      </w:r>
    </w:p>
    <w:p>
      <w:pPr>
        <w:pStyle w:val="ListBullet"/>
      </w:pPr>
      <w:r>
        <w:t>MOND: R^2 = 0.9299 +/- 0.0133</w:t>
      </w:r>
    </w:p>
    <w:p>
      <w:pPr>
        <w:pStyle w:val="ListBullet"/>
      </w:pPr>
      <w:r>
        <w:t>baryons-only: R^2 = 0.5469 +/- 0.1117</w:t>
      </w:r>
    </w:p>
    <w:p>
      <w:pPr>
        <w:pStyle w:val="Heading3"/>
      </w:pPr>
      <w:r>
        <w:t>Full sample</w:t>
      </w:r>
    </w:p>
    <w:p>
      <w:pPr>
        <w:pStyle w:val="ListBullet"/>
      </w:pPr>
      <w:r>
        <w:t>density-gradient CSR: R^2 = 0.7116</w:t>
      </w:r>
    </w:p>
    <w:p>
      <w:pPr>
        <w:pStyle w:val="ListBullet"/>
      </w:pPr>
      <w:r>
        <w:t>MOND: R^2 = 0.9321</w:t>
      </w:r>
    </w:p>
    <w:p>
      <w:pPr>
        <w:pStyle w:val="ListBullet"/>
      </w:pPr>
      <w:r>
        <w:t>baryons-only: R^2 = 0.5521</w:t>
      </w:r>
    </w:p>
    <w:p>
      <w:pPr>
        <w:pStyle w:val="Heading2"/>
      </w:pPr>
      <w:r>
        <w:t>Local External Benchmark</w:t>
      </w:r>
    </w:p>
    <w:p>
      <w:pPr>
        <w:jc w:val="both"/>
      </w:pPr>
      <w:r>
        <w:t>The clean local decomposition-grade sample still has only 3 galaxies:</w:t>
      </w:r>
    </w:p>
    <w:p>
      <w:pPr>
        <w:pStyle w:val="ListBullet"/>
      </w:pPr>
      <w:r>
        <w:t>m33</w:t>
      </w:r>
    </w:p>
    <w:p>
      <w:pPr>
        <w:pStyle w:val="ListBullet"/>
      </w:pPr>
      <w:r>
        <w:t>n1560</w:t>
      </w:r>
    </w:p>
    <w:p>
      <w:pPr>
        <w:pStyle w:val="ListBullet"/>
      </w:pPr>
      <w:r>
        <w:t>n5533</w:t>
      </w:r>
    </w:p>
    <w:p>
      <w:pPr>
        <w:jc w:val="both"/>
      </w:pPr>
      <w:r>
        <w:t>On that subset:</w:t>
      </w:r>
    </w:p>
    <w:p>
      <w:pPr>
        <w:pStyle w:val="Heading3"/>
      </w:pPr>
      <w:r>
        <w:t>Aggregate R^2</w:t>
      </w:r>
    </w:p>
    <w:p>
      <w:pPr>
        <w:pStyle w:val="ListBullet"/>
      </w:pPr>
      <w:r>
        <w:t>density-gradient CSR: 0.0600</w:t>
      </w:r>
    </w:p>
    <w:p>
      <w:pPr>
        <w:pStyle w:val="ListBullet"/>
      </w:pPr>
      <w:r>
        <w:t>MOND: 0.8618</w:t>
      </w:r>
    </w:p>
    <w:p>
      <w:pPr>
        <w:pStyle w:val="ListBullet"/>
      </w:pPr>
      <w:r>
        <w:t>baryons-only: 0.4628</w:t>
      </w:r>
    </w:p>
    <w:p>
      <w:pPr>
        <w:pStyle w:val="Heading3"/>
      </w:pPr>
      <w:r>
        <w:t>Median per-galaxy R^2</w:t>
      </w:r>
    </w:p>
    <w:p>
      <w:pPr>
        <w:pStyle w:val="ListBullet"/>
      </w:pPr>
      <w:r>
        <w:t>density-gradient CSR: -21.5506</w:t>
      </w:r>
    </w:p>
    <w:p>
      <w:pPr>
        <w:pStyle w:val="ListBullet"/>
      </w:pPr>
      <w:r>
        <w:t>MOND: 0.7552</w:t>
      </w:r>
    </w:p>
    <w:p>
      <w:pPr>
        <w:pStyle w:val="ListBullet"/>
      </w:pPr>
      <w:r>
        <w:t>baryons-only: -10.8818</w:t>
      </w:r>
    </w:p>
    <w:p>
      <w:pPr>
        <w:pStyle w:val="Heading3"/>
      </w:pPr>
      <w:r>
        <w:t>Per-galaxy</w:t>
      </w:r>
    </w:p>
    <w:p>
      <w:pPr>
        <w:pStyle w:val="ListBullet"/>
      </w:pPr>
      <w:r>
        <w:t>m33: CSR -2.8418, MOND -0.6620, baryons 0.3855</w:t>
      </w:r>
    </w:p>
    <w:p>
      <w:pPr>
        <w:pStyle w:val="ListBullet"/>
      </w:pPr>
      <w:r>
        <w:t>n1560: CSR -43.0661, MOND 0.8272, baryons -10.8818</w:t>
      </w:r>
    </w:p>
    <w:p>
      <w:pPr>
        <w:pStyle w:val="ListBullet"/>
      </w:pPr>
      <w:r>
        <w:t>n5533: CSR -21.5506, MOND 0.7552, baryons -29.0877</w:t>
      </w:r>
    </w:p>
    <w:p>
      <w:pPr>
        <w:pStyle w:val="Heading2"/>
      </w:pPr>
      <w:r>
        <w:t>What This Means</w:t>
      </w:r>
    </w:p>
    <w:p>
      <w:pPr>
        <w:jc w:val="both"/>
      </w:pPr>
      <w:r>
        <w:t>This candidate law is physically cleaner than the legacy derivative ansatz in one narrow sense:</w:t>
      </w:r>
    </w:p>
    <w:p>
      <w:pPr>
        <w:pStyle w:val="ListBullet"/>
      </w:pPr>
      <w:r>
        <w:t>it is positive-definite by construction</w:t>
      </w:r>
    </w:p>
    <w:p>
      <w:pPr>
        <w:pStyle w:val="ListBullet"/>
      </w:pPr>
      <w:r>
        <w:t>it comes from a named semiclassical candidate step rather than a guessed velocity correction</w:t>
      </w:r>
    </w:p>
    <w:p>
      <w:pPr>
        <w:jc w:val="both"/>
      </w:pPr>
      <w:r>
        <w:t>But the benchmark is not strong enough.</w:t>
      </w:r>
    </w:p>
    <w:p>
      <w:pPr>
        <w:jc w:val="both"/>
      </w:pPr>
      <w:r>
        <w:t>It improves substantially over baryons-only on SPARC. It does not come close to MOND on SPARC. It transfers only weakly on the tiny local external decomposition-grade subset.</w:t>
      </w:r>
    </w:p>
    <w:p>
      <w:pPr>
        <w:jc w:val="both"/>
      </w:pPr>
      <w:r>
        <w:t>So this is not the derived galaxy law that CSR needs.</w:t>
      </w:r>
    </w:p>
    <w:p>
      <w:pPr>
        <w:pStyle w:val="Heading2"/>
      </w:pPr>
      <w:r>
        <w:t>Bottom Line</w:t>
      </w:r>
    </w:p>
    <w:p>
      <w:pPr>
        <w:jc w:val="both"/>
      </w:pPr>
      <w:r>
        <w:t>The density-gradient law survives as a candidate, not as a winner.</w:t>
      </w:r>
    </w:p>
    <w:p>
      <w:pPr>
        <w:jc w:val="both"/>
      </w:pPr>
      <w:r>
        <w:t>Its role now is diagnostic:</w:t>
      </w:r>
    </w:p>
    <w:p>
      <w:pPr>
        <w:pStyle w:val="ListBullet"/>
      </w:pPr>
      <w:r>
        <w:t>it shows the semiclassical note can be turned into an explicit benchmarkable kernel</w:t>
      </w:r>
    </w:p>
    <w:p>
      <w:pPr>
        <w:pStyle w:val="ListBullet"/>
      </w:pPr>
      <w:r>
        <w:t>it also shows that this first kernel is not good enough</w:t>
      </w:r>
    </w:p>
    <w:p>
      <w:pPr>
        <w:jc w:val="both"/>
      </w:pPr>
      <w:r>
        <w:t>That narrows the next derivation target rather than settling 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DENSITY-GRADIENT GALAXY LAW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Density-Gradient Galaxy Law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