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Direct Observed External Gate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document replaces the earlier parametric 9-galaxy THINGS/Leroy curve as the main observed external gate in the strict CSR evidence workflow.</w:t>
      </w:r>
    </w:p>
    <w:p>
      <w:pPr>
        <w:jc w:val="both"/>
      </w:pPr>
      <w:r>
        <w:t>The new main gate uses direct observed rotation curves with local baryonic decomposition from galaxy_massmodels.dat. It is smaller than the parametric Leroy set, but it is cleaner because it compares model predictions directly against observed velocity tables rather than a published two-parameter surrogate curve.</w:t>
      </w:r>
    </w:p>
    <w:p>
      <w:pPr>
        <w:pStyle w:val="Heading2"/>
      </w:pPr>
      <w:r>
        <w:t>Dataset</w:t>
      </w:r>
    </w:p>
    <w:p>
      <w:pPr>
        <w:pStyle w:val="ListBullet"/>
      </w:pPr>
      <w:r>
        <w:t>Galaxy count: 3</w:t>
      </w:r>
    </w:p>
    <w:p>
      <w:pPr>
        <w:pStyle w:val="ListBullet"/>
      </w:pPr>
      <w:r>
        <w:t>Aliases: m33, n1560, n5533</w:t>
      </w:r>
    </w:p>
    <w:p>
      <w:pPr>
        <w:pStyle w:val="ListBullet"/>
      </w:pPr>
      <w:r>
        <w:t>Source: data/external/mcgaugh_massmodels/galaxy_massmodels.dat</w:t>
      </w:r>
    </w:p>
    <w:p>
      <w:pPr>
        <w:pStyle w:val="ListBullet"/>
      </w:pPr>
      <w:r>
        <w:t>Condition: non-SPARC, machine-local, direct observed Vobs plus baryonic decomposition</w:t>
      </w:r>
    </w:p>
    <w:p>
      <w:pPr>
        <w:pStyle w:val="Heading2"/>
      </w:pPr>
      <w:r>
        <w:t>Aggregate Results</w:t>
      </w:r>
    </w:p>
    <w:p>
      <w:pPr>
        <w:pStyle w:val="ListBullet"/>
      </w:pPr>
      <w:r>
        <w:t>baryons_only: aggregate R^2 = 0.4628, median R^2 = -10.8818</w:t>
      </w:r>
    </w:p>
    <w:p>
      <w:pPr>
        <w:pStyle w:val="ListBullet"/>
      </w:pPr>
      <w:r>
        <w:t>MOND: aggregate R^2 = 0.8618, median R^2 = 0.7552</w:t>
      </w:r>
    </w:p>
    <w:p>
      <w:pPr>
        <w:pStyle w:val="ListBullet"/>
      </w:pPr>
      <w:r>
        <w:t>weighted_hodge: aggregate R^2 = 0.7550, median R^2 = -7.9332</w:t>
      </w:r>
    </w:p>
    <w:p>
      <w:pPr>
        <w:pStyle w:val="ListBullet"/>
      </w:pPr>
      <w:r>
        <w:t>tensorial_hodge: aggregate R^2 = 0.7584, median R^2 = -7.6748</w:t>
      </w:r>
    </w:p>
    <w:p>
      <w:pPr>
        <w:pStyle w:val="ListBullet"/>
      </w:pPr>
      <w:r>
        <w:t>retarded_hodge: aggregate R^2 = 0.8688, median R^2 = -2.4103</w:t>
      </w:r>
    </w:p>
    <w:p>
      <w:pPr>
        <w:pStyle w:val="ListBullet"/>
      </w:pPr>
      <w:r>
        <w:t>scale_invariant_template: aggregate R^2 = 0.8776, median R^2 = 0.6709</w:t>
      </w:r>
    </w:p>
    <w:p>
      <w:pPr>
        <w:pStyle w:val="ListBullet"/>
      </w:pPr>
      <w:r>
        <w:t>constraint_derived_root_law: aggregate R^2 = 0.8209, median R^2 = -6.2341</w:t>
      </w:r>
    </w:p>
    <w:p>
      <w:pPr>
        <w:pStyle w:val="Heading2"/>
      </w:pPr>
      <w:r>
        <w:t>Per-Galaxy Pattern</w:t>
      </w:r>
    </w:p>
    <w:p>
      <w:pPr>
        <w:pStyle w:val="Heading3"/>
      </w:pPr>
      <w:r>
        <w:t>m33</w:t>
      </w:r>
    </w:p>
    <w:p>
      <w:pPr>
        <w:pStyle w:val="ListBullet"/>
      </w:pPr>
      <w:r>
        <w:t>Strongest aggregate scorers do not all transfer cleanly.</w:t>
      </w:r>
    </w:p>
    <w:p>
      <w:pPr>
        <w:pStyle w:val="ListBullet"/>
      </w:pPr>
      <w:r>
        <w:t>retarded_hodge does best here with R^2 = 0.9111.</w:t>
      </w:r>
    </w:p>
    <w:p>
      <w:pPr>
        <w:pStyle w:val="ListBullet"/>
      </w:pPr>
      <w:r>
        <w:t>MOND is negative here with R^2 = -0.6620.</w:t>
      </w:r>
    </w:p>
    <w:p>
      <w:pPr>
        <w:pStyle w:val="Heading3"/>
      </w:pPr>
      <w:r>
        <w:t>n1560</w:t>
      </w:r>
    </w:p>
    <w:p>
      <w:pPr>
        <w:pStyle w:val="ListBullet"/>
      </w:pPr>
      <w:r>
        <w:t>scale_invariant_template and MOND both do well.</w:t>
      </w:r>
    </w:p>
    <w:p>
      <w:pPr>
        <w:pStyle w:val="ListBullet"/>
      </w:pPr>
      <w:r>
        <w:t>constraint_derived_root_law remains strongly negative.</w:t>
      </w:r>
    </w:p>
    <w:p>
      <w:pPr>
        <w:pStyle w:val="Heading3"/>
      </w:pPr>
      <w:r>
        <w:t>n5533</w:t>
      </w:r>
    </w:p>
    <w:p>
      <w:pPr>
        <w:pStyle w:val="ListBullet"/>
      </w:pPr>
      <w:r>
        <w:t>MOND and scale_invariant_template stay positive.</w:t>
      </w:r>
    </w:p>
    <w:p>
      <w:pPr>
        <w:pStyle w:val="ListBullet"/>
      </w:pPr>
      <w:r>
        <w:t>All Hodge-style structural branches remain negative.</w:t>
      </w:r>
    </w:p>
    <w:p>
      <w:pPr>
        <w:pStyle w:val="Heading2"/>
      </w:pPr>
      <w:r>
        <w:t>Interpretation</w:t>
      </w:r>
    </w:p>
    <w:p>
      <w:pPr>
        <w:jc w:val="both"/>
      </w:pPr>
      <w:r>
        <w:t>The direct observed gate exposes two distinct failure modes:</w:t>
      </w:r>
    </w:p>
    <w:p>
      <w:pPr>
        <w:pStyle w:val="ListNumber"/>
      </w:pPr>
      <w:r>
        <w:t>The Hodge/retarded CSR structural branches can post high aggregate R^2 while still failing on median shape quality. That means they are not capturing the per-galaxy curve structure robustly.</w:t>
      </w:r>
    </w:p>
    <w:p>
      <w:pPr>
        <w:pStyle w:val="ListNumber"/>
      </w:pPr>
      <w:r>
        <w:t>The scale-invariant template remains the strongest constraint envelope, but it is still not a derived CSR law.</w:t>
      </w:r>
    </w:p>
    <w:p>
      <w:pPr>
        <w:jc w:val="both"/>
      </w:pPr>
      <w:r>
        <w:t>The new derivation-first root-law branch is important because it fails differently:</w:t>
      </w:r>
    </w:p>
    <w:p>
      <w:pPr>
        <w:pStyle w:val="ListBullet"/>
      </w:pPr>
      <w:r>
        <w:t>it improves aggregate score over baryons-only,</w:t>
      </w:r>
    </w:p>
    <w:p>
      <w:pPr>
        <w:pStyle w:val="ListBullet"/>
      </w:pPr>
      <w:r>
        <w:t>but it remains structurally wrong on the triple test and collapses on median external quality,</w:t>
      </w:r>
    </w:p>
    <w:p>
      <w:pPr>
        <w:pStyle w:val="ListBullet"/>
      </w:pPr>
      <w:r>
        <w:t>so deriving only the closure without deriving the quotient normalization is not enough.</w:t>
      </w:r>
    </w:p>
    <w:p>
      <w:pPr>
        <w:pStyle w:val="Heading2"/>
      </w:pPr>
      <w:r>
        <w:t>Bottom Line</w:t>
      </w:r>
    </w:p>
    <w:p>
      <w:pPr>
        <w:jc w:val="both"/>
      </w:pPr>
      <w:r>
        <w:t>The direct observed gate is the correct adversarial main gate on the current machine-local external data.</w:t>
      </w:r>
    </w:p>
    <w:p>
      <w:pPr>
        <w:jc w:val="both"/>
      </w:pPr>
      <w:r>
        <w:t>It sharpens the program in three ways:</w:t>
      </w:r>
    </w:p>
    <w:p>
      <w:pPr>
        <w:pStyle w:val="ListBullet"/>
      </w:pPr>
      <w:r>
        <w:t>it demotes the old parametric 9-galaxy gate to sensitivity-only,</w:t>
      </w:r>
    </w:p>
    <w:p>
      <w:pPr>
        <w:pStyle w:val="ListBullet"/>
      </w:pPr>
      <w:r>
        <w:t>it confirms that aggregate score alone is not enough,</w:t>
      </w:r>
    </w:p>
    <w:p>
      <w:pPr>
        <w:pStyle w:val="ListBullet"/>
      </w:pPr>
      <w:r>
        <w:t>and it shows that the next real target is a derived operator-measure law with positive per-galaxy transfer, not another high-aggregate surrogate.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DIRECT OBSERVED EXTERNAL 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Direct Observed External Gate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