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Disk Tensor Stress Family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is the first explicitly disk-geometric tensor closure tested in CSR.</w:t>
      </w:r>
    </w:p>
    <w:p>
      <w:pPr>
        <w:jc w:val="both"/>
      </w:pPr>
      <w:r>
        <w:t>It replaces the earlier sphericalized density proxy with a thin-disk effective surface-density stress law.</w:t>
      </w:r>
    </w:p>
    <w:p>
      <w:pPr>
        <w:pStyle w:val="Heading2"/>
      </w:pPr>
      <w:r>
        <w:t>Law Tested</w:t>
      </w:r>
    </w:p>
    <w:p>
      <w:pPr>
        <w:jc w:val="both"/>
      </w:pPr>
      <w:r>
        <w:t>The family tested was</w:t>
      </w:r>
    </w:p>
    <w:p>
      <w:pPr>
        <w:jc w:val="both"/>
      </w:pPr>
      <w:r>
        <w:t>v_pred^2 = v_bar^2 - sigma_R^2 R d ln Sigma_b^eff / dR - (1-chi) sigma_R^2</w:t>
      </w:r>
    </w:p>
    <w:p>
      <w:pPr>
        <w:jc w:val="both"/>
      </w:pPr>
      <w:r>
        <w:t>with the closure</w:t>
      </w:r>
    </w:p>
    <w:p>
      <w:pPr>
        <w:pStyle w:val="ListBullet"/>
      </w:pPr>
      <w:r>
        <w:t>Pi_RR = -Sigma_b^eff sigma_R^2</w:t>
      </w:r>
    </w:p>
    <w:p>
      <w:pPr>
        <w:pStyle w:val="ListBullet"/>
      </w:pPr>
      <w:r>
        <w:t>Pi_phiphi = -chi Sigma_b^eff sigma_R^2</w:t>
      </w:r>
    </w:p>
    <w:p>
      <w:pPr>
        <w:jc w:val="both"/>
      </w:pPr>
      <w:r>
        <w:t>The effective surface-density proxy was built from the baryonic rotation contribution through</w:t>
      </w:r>
    </w:p>
    <w:p>
      <w:pPr>
        <w:jc w:val="both"/>
      </w:pPr>
      <w:r>
        <w:t>Sigma_b^eff ~ (2 pi R)^(-1) dM_bar / dR</w:t>
      </w:r>
    </w:p>
    <w:p>
      <w:pPr>
        <w:jc w:val="both"/>
      </w:pPr>
      <w:r>
        <w:t>with</w:t>
      </w:r>
    </w:p>
    <w:p>
      <w:pPr>
        <w:jc w:val="both"/>
      </w:pPr>
      <w:r>
        <w:t>M_bar(R) ~ R v_bar^2 / G</w:t>
      </w:r>
    </w:p>
    <w:p>
      <w:pPr>
        <w:pStyle w:val="Heading2"/>
      </w:pPr>
      <w:r>
        <w:t>Best Fit</w:t>
      </w:r>
    </w:p>
    <w:p>
      <w:pPr>
        <w:jc w:val="both"/>
      </w:pPr>
      <w:r>
        <w:t>Full-sample fit:</w:t>
      </w:r>
    </w:p>
    <w:p>
      <w:pPr>
        <w:pStyle w:val="ListBullet"/>
      </w:pPr>
      <w:r>
        <w:t>sigma_R = 27.39 km/s</w:t>
      </w:r>
    </w:p>
    <w:p>
      <w:pPr>
        <w:pStyle w:val="ListBullet"/>
      </w:pPr>
      <w:r>
        <w:t>chi = 4.0</w:t>
      </w:r>
    </w:p>
    <w:p>
      <w:pPr>
        <w:jc w:val="both"/>
      </w:pPr>
      <w:r>
        <w:t>The anisotropy ratio runs to the upper fit boundary.</w:t>
      </w:r>
    </w:p>
    <w:p>
      <w:pPr>
        <w:pStyle w:val="Heading2"/>
      </w:pPr>
      <w:r>
        <w:t>Performance</w:t>
      </w:r>
    </w:p>
    <w:p>
      <w:pPr>
        <w:pStyle w:val="ListBullet"/>
      </w:pPr>
      <w:r>
        <w:t>SPARC holdout mean R^2 = 0.6248 +/- 0.0933</w:t>
      </w:r>
    </w:p>
    <w:p>
      <w:pPr>
        <w:pStyle w:val="ListBullet"/>
      </w:pPr>
      <w:r>
        <w:t>full-sample SPARC R^2 = 0.6384</w:t>
      </w:r>
    </w:p>
    <w:p>
      <w:pPr>
        <w:pStyle w:val="ListBullet"/>
      </w:pPr>
      <w:r>
        <w:t>local decomposition-grade external aggregate R^2 = 0.2840</w:t>
      </w:r>
    </w:p>
    <w:p>
      <w:pPr>
        <w:pStyle w:val="ListBullet"/>
      </w:pPr>
      <w:r>
        <w:t>local external median per-galaxy R^2 = -20.1745</w:t>
      </w:r>
    </w:p>
    <w:p>
      <w:pPr>
        <w:pStyle w:val="ListBullet"/>
      </w:pPr>
      <w:r>
        <w:t>MOND holdout mean R^2 = 0.9299</w:t>
      </w:r>
    </w:p>
    <w:p>
      <w:pPr>
        <w:pStyle w:val="ListBullet"/>
      </w:pPr>
      <w:r>
        <w:t>baryons-only holdout mean R^2 = 0.5469</w:t>
      </w:r>
    </w:p>
    <w:p>
      <w:pPr>
        <w:pStyle w:val="Heading2"/>
      </w:pPr>
      <w:r>
        <w:t>Interpretation</w:t>
      </w:r>
    </w:p>
    <w:p>
      <w:pPr>
        <w:jc w:val="both"/>
      </w:pPr>
      <w:r>
        <w:t>This family is informative but negative.</w:t>
      </w:r>
    </w:p>
    <w:p>
      <w:pPr>
        <w:jc w:val="both"/>
      </w:pPr>
      <w:r>
        <w:t>It does outperform baryons-only on SPARC. It does not compete with MOND, and it does not hold up externally on the current local clean subset.</w:t>
      </w:r>
    </w:p>
    <w:p>
      <w:pPr>
        <w:jc w:val="both"/>
      </w:pPr>
      <w:r>
        <w:t>The fit also saturates the anisotropy boundary:</w:t>
      </w:r>
    </w:p>
    <w:p>
      <w:pPr>
        <w:pStyle w:val="ListBullet"/>
      </w:pPr>
      <w:r>
        <w:t>chi = 4.0</w:t>
      </w:r>
    </w:p>
    <w:p>
      <w:pPr>
        <w:jc w:val="both"/>
      </w:pPr>
      <w:r>
        <w:t>That is another sign that the closure is missing structure rather than merely needing a better scalar parameter value.</w:t>
      </w:r>
    </w:p>
    <w:p>
      <w:pPr>
        <w:pStyle w:val="Heading2"/>
      </w:pPr>
      <w:r>
        <w:t>What This Means</w:t>
      </w:r>
    </w:p>
    <w:p>
      <w:pPr>
        <w:jc w:val="both"/>
      </w:pPr>
      <w:r>
        <w:t>The next macroscopic object is probably not just a more careful disk anisotropy term.</w:t>
      </w:r>
    </w:p>
    <w:p>
      <w:pPr>
        <w:jc w:val="both"/>
      </w:pPr>
      <w:r>
        <w:t>The stronger candidates now are:</w:t>
      </w:r>
    </w:p>
    <w:p>
      <w:pPr>
        <w:pStyle w:val="ListBullet"/>
      </w:pPr>
      <w:r>
        <w:t>explicitly nonlocal tensor closures</w:t>
      </w:r>
    </w:p>
    <w:p>
      <w:pPr>
        <w:pStyle w:val="ListBullet"/>
      </w:pPr>
      <w:r>
        <w:t>retarded metric/stress response kernels</w:t>
      </w:r>
    </w:p>
    <w:p>
      <w:pPr>
        <w:pStyle w:val="ListBullet"/>
      </w:pPr>
      <w:r>
        <w:t>or geometry-aware closures tied to disk structure rather than to a single local Sigma_b^eff proxy</w:t>
      </w:r>
    </w:p>
    <w:p>
      <w:pPr>
        <w:pStyle w:val="Heading2"/>
      </w:pPr>
      <w:r>
        <w:t>Output</w:t>
      </w:r>
    </w:p>
    <w:p>
      <w:pPr>
        <w:jc w:val="both"/>
      </w:pPr>
      <w:r>
        <w:t>Primary audit file:</w:t>
      </w:r>
    </w:p>
    <w:p>
      <w:pPr>
        <w:pStyle w:val="ListBullet"/>
      </w:pPr>
      <w:r>
        <w:t>output/audit/csr_disk_tensor_stress_family.json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DISK TENSOR STRESS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Disk Tensor Stress Family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