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Evidence Pack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Lay Summary</w:t>
      </w:r>
    </w:p>
    <w:p>
      <w:pPr>
        <w:pStyle w:val="Heading3"/>
      </w:pPr>
      <w:r>
        <w:t>What CSR is</w:t>
      </w:r>
    </w:p>
    <w:p>
      <w:pPr>
        <w:jc w:val="both"/>
      </w:pPr>
      <w:r>
        <w:t>CSR is a research program trying to derive galaxy-scale gravity behavior from a more fundamental operator-and-measure structure rather than fitting galaxy curves directly.</w:t>
      </w:r>
    </w:p>
    <w:p>
      <w:pPr>
        <w:pStyle w:val="Heading3"/>
      </w:pPr>
      <w:r>
        <w:t>What is actually proved</w:t>
      </w:r>
    </w:p>
    <w:p>
      <w:pPr>
        <w:pStyle w:val="ListBullet"/>
      </w:pPr>
      <w:r>
        <w:t>there is an internally established bridge result,</w:t>
      </w:r>
    </w:p>
    <w:p>
      <w:pPr>
        <w:pStyle w:val="ListBullet"/>
      </w:pPr>
      <w:r>
        <w:t>there is an internally established lattice renormalization result on the T^3 backbone,</w:t>
      </w:r>
    </w:p>
    <w:p>
      <w:pPr>
        <w:pStyle w:val="ListBullet"/>
      </w:pPr>
      <w:r>
        <w:t>the current best template can reproduce the right low-acceleration scaling pattern structurally,</w:t>
      </w:r>
    </w:p>
    <w:p>
      <w:pPr>
        <w:pStyle w:val="ListBullet"/>
      </w:pPr>
      <w:r>
        <w:t>the theorem-level target for any real derivation is explicit: the deep-IR action must land on the equivalent of q = 3 scaling.</w:t>
      </w:r>
    </w:p>
    <w:p>
      <w:pPr>
        <w:pStyle w:val="Heading3"/>
      </w:pPr>
      <w:r>
        <w:t>What is not proved</w:t>
      </w:r>
    </w:p>
    <w:p>
      <w:pPr>
        <w:pStyle w:val="ListBullet"/>
      </w:pPr>
      <w:r>
        <w:t>no fully derived CSR galaxy law exists,</w:t>
      </w:r>
    </w:p>
    <w:p>
      <w:pPr>
        <w:pStyle w:val="ListBullet"/>
      </w:pPr>
      <w:r>
        <w:t>no model is scientifically live under the current strict suite,</w:t>
      </w:r>
    </w:p>
    <w:p>
      <w:pPr>
        <w:pStyle w:val="ListBullet"/>
      </w:pPr>
      <w:r>
        <w:t>no hardware result shows a lab-scale CSR emergent galaxy analogue,</w:t>
      </w:r>
    </w:p>
    <w:p>
      <w:pPr>
        <w:pStyle w:val="ListBullet"/>
      </w:pPr>
      <w:r>
        <w:t>no commercial claim is evidence-backed beyond local machine telemetry and runtime measurements.</w:t>
      </w:r>
    </w:p>
    <w:p>
      <w:pPr>
        <w:pStyle w:val="Heading3"/>
      </w:pPr>
      <w:r>
        <w:t>What the current best result means</w:t>
      </w:r>
    </w:p>
    <w:p>
      <w:pPr>
        <w:jc w:val="both"/>
      </w:pPr>
      <w:r>
        <w:t>The current best branch is still the scale-invariant template. Under the upgraded strict suite:</w:t>
      </w:r>
    </w:p>
    <w:p>
      <w:pPr>
        <w:pStyle w:val="ListBullet"/>
      </w:pPr>
      <w:r>
        <w:t>direct observed main-gate aggregate R^2 = 0.8776</w:t>
      </w:r>
    </w:p>
    <w:p>
      <w:pPr>
        <w:pStyle w:val="ListBullet"/>
      </w:pPr>
      <w:r>
        <w:t>direct observed main-gate median R^2 = 0.6709</w:t>
      </w:r>
    </w:p>
    <w:p>
      <w:pPr>
        <w:pStyle w:val="ListBullet"/>
      </w:pPr>
      <w:r>
        <w:t>beats baryons on 2/3 galaxies</w:t>
      </w:r>
    </w:p>
    <w:p>
      <w:pPr>
        <w:pStyle w:val="ListBullet"/>
      </w:pPr>
      <w:r>
        <w:t>mean residual lag-1 autocorrelation 0.8273</w:t>
      </w:r>
    </w:p>
    <w:p>
      <w:pPr>
        <w:pStyle w:val="ListBullet"/>
      </w:pPr>
      <w:r>
        <w:t>the ablated branch is essentially identical on the same gate</w:t>
      </w:r>
    </w:p>
    <w:p>
      <w:pPr>
        <w:jc w:val="both"/>
      </w:pPr>
      <w:r>
        <w:t>The first derivation-first attempt was not merely incomplete. It was actively wrong at the galaxy level:</w:t>
      </w:r>
    </w:p>
    <w:p>
      <w:pPr>
        <w:pStyle w:val="ListBullet"/>
      </w:pPr>
      <w:r>
        <w:t>direct observed aggregate R^2 = 0.8209</w:t>
      </w:r>
    </w:p>
    <w:p>
      <w:pPr>
        <w:pStyle w:val="ListBullet"/>
      </w:pPr>
      <w:r>
        <w:t>direct observed median R^2 = -6.2341</w:t>
      </w:r>
    </w:p>
    <w:p>
      <w:pPr>
        <w:jc w:val="both"/>
      </w:pPr>
      <w:r>
        <w:t>That means the first derivation attempt fit most galaxies worse than a horizontal-line baseline. So the template is a useful envelope for what a derived law must resemble. It is not yet the theory.</w:t>
      </w:r>
    </w:p>
    <w:p>
      <w:pPr>
        <w:pStyle w:val="Heading2"/>
      </w:pPr>
      <w:r>
        <w:t>Scientific Summary</w:t>
      </w:r>
    </w:p>
    <w:p>
      <w:pPr>
        <w:pStyle w:val="Heading3"/>
      </w:pPr>
      <w:r>
        <w:t>Strict Gate</w:t>
      </w:r>
    </w:p>
    <w:p>
      <w:pPr>
        <w:jc w:val="both"/>
      </w:pPr>
      <w:r>
        <w:t>A model is only treated as scientifically live if it:</w:t>
      </w:r>
    </w:p>
    <w:p>
      <w:pPr>
        <w:pStyle w:val="ListNumber"/>
      </w:pPr>
      <w:r>
        <w:t>passes the triple test structurally,</w:t>
      </w:r>
    </w:p>
    <w:p>
      <w:pPr>
        <w:pStyle w:val="ListNumber"/>
      </w:pPr>
      <w:r>
        <w:t>beats baryons-only clearly on the direct observed external gate,</w:t>
      </w:r>
    </w:p>
    <w:p>
      <w:pPr>
        <w:pStyle w:val="ListNumber"/>
      </w:pPr>
      <w:r>
        <w:t>survives shuffled/null controls,</w:t>
      </w:r>
    </w:p>
    <w:p>
      <w:pPr>
        <w:pStyle w:val="ListNumber"/>
      </w:pPr>
      <w:r>
        <w:t>is stable across repeated runs,</w:t>
      </w:r>
    </w:p>
    <w:p>
      <w:pPr>
        <w:pStyle w:val="ListNumber"/>
      </w:pPr>
      <w:r>
        <w:t>clears per-galaxy shape diagnostics,</w:t>
      </w:r>
    </w:p>
    <w:p>
      <w:pPr>
        <w:pStyle w:val="ListNumber"/>
      </w:pPr>
      <w:r>
        <w:t>beats MOND on the same gate if superiority is claimed.</w:t>
      </w:r>
    </w:p>
    <w:p>
      <w:pPr>
        <w:pStyle w:val="Heading3"/>
      </w:pPr>
      <w:r>
        <w:t>Current Main Gate</w:t>
      </w:r>
    </w:p>
    <w:p>
      <w:pPr>
        <w:jc w:val="both"/>
      </w:pPr>
      <w:r>
        <w:t>The main external gate is the direct observed 3-galaxy set:</w:t>
      </w:r>
    </w:p>
    <w:p>
      <w:pPr>
        <w:pStyle w:val="ListBullet"/>
      </w:pPr>
      <w:r>
        <w:t>aliases: m33, n1560, n5533</w:t>
      </w:r>
    </w:p>
    <w:p>
      <w:pPr>
        <w:pStyle w:val="ListBullet"/>
      </w:pPr>
      <w:r>
        <w:t>source: local direct observed curves with baryonic decomposition from galaxy_massmodels.dat</w:t>
      </w:r>
    </w:p>
    <w:p>
      <w:pPr>
        <w:jc w:val="both"/>
      </w:pPr>
      <w:r>
        <w:t>This gate is honest but still too small for beyond-reasonable-doubt validation. It is a falsification gate first.</w:t>
      </w:r>
    </w:p>
    <w:p>
      <w:pPr>
        <w:pStyle w:val="Heading3"/>
      </w:pPr>
      <w:r>
        <w:t>Current Branch Status</w:t>
      </w:r>
    </w:p>
    <w:p>
      <w:pPr>
        <w:pStyle w:val="ListBullet"/>
      </w:pPr>
      <w:r>
        <w:t>MOND: structurally passes, direct observed aggregate R^2 = 0.8618, median R^2 = 0.7552, beats baryons on 2/3 galaxies, mean lag-1 residual autocorrelation 0.8192, still not promoted to live under the current CI rule</w:t>
      </w:r>
    </w:p>
    <w:p>
      <w:pPr>
        <w:pStyle w:val="ListBullet"/>
      </w:pPr>
      <w:r>
        <w:t>scale_invariant_template: structurally passes, direct observed aggregate R^2 = 0.8776, median R^2 = 0.6709, mean lag-1 residual autocorrelation 0.8273, but remains ablation-equivalent and therefore non-derived</w:t>
      </w:r>
    </w:p>
    <w:p>
      <w:pPr>
        <w:pStyle w:val="ListBullet"/>
      </w:pPr>
      <w:r>
        <w:t>constraint_derived_root_law: first derivation-first closure attempt, direct observed aggregate R^2 = 0.8209, median R^2 = -6.2341, mean lag-1 residual autocorrelation 0.8891, not promoted because deriving only the closure is not enough and the branch is worse than MOND on current shape metrics</w:t>
      </w:r>
    </w:p>
    <w:p>
      <w:pPr>
        <w:pStyle w:val="ListBullet"/>
      </w:pPr>
      <w:r>
        <w:t>weighted_hodge, tensorial_hodge, retarded_hodge: some high aggregates, but still structurally wrong or catastrophically unstable at the per-galaxy level</w:t>
      </w:r>
    </w:p>
    <w:p>
      <w:pPr>
        <w:jc w:val="both"/>
      </w:pPr>
      <w:r>
        <w:t>The direct MOND comparison should be stated plainly:</w:t>
      </w:r>
    </w:p>
    <w:p>
      <w:pPr>
        <w:pStyle w:val="ListBullet"/>
      </w:pPr>
      <w:r>
        <w:t>on median per-galaxy performance, the best CSR template is currently worse than MOND</w:t>
      </w:r>
    </w:p>
    <w:p>
      <w:pPr>
        <w:pStyle w:val="ListBullet"/>
      </w:pPr>
      <w:r>
        <w:t>on current radial shape metrics, no CSR branch materially outperforms MOND</w:t>
      </w:r>
    </w:p>
    <w:p>
      <w:pPr>
        <w:pStyle w:val="Heading3"/>
      </w:pPr>
      <w:r>
        <w:t>Why ablation-equivalence matters</w:t>
      </w:r>
    </w:p>
    <w:p>
      <w:pPr>
        <w:jc w:val="both"/>
      </w:pPr>
      <w:r>
        <w:t>The scale-invariant template is marked non-derived because its ablated version performs essentially the same. That means the supposedly CSR-specific terms are not contributing anything the simpler version does not already provide.</w:t>
      </w:r>
    </w:p>
    <w:p>
      <w:pPr>
        <w:pStyle w:val="Heading3"/>
      </w:pPr>
      <w:r>
        <w:t>Exact Current Bottleneck</w:t>
      </w:r>
    </w:p>
    <w:p>
      <w:pPr>
        <w:jc w:val="both"/>
      </w:pPr>
      <w:r>
        <w:t>The missing objects are explicit:</w:t>
      </w:r>
    </w:p>
    <w:p>
      <w:pPr>
        <w:pStyle w:val="ListBullet"/>
      </w:pPr>
      <w:r>
        <w:t>a derived quotient normalization,</w:t>
      </w:r>
    </w:p>
    <w:p>
      <w:pPr>
        <w:pStyle w:val="ListBullet"/>
      </w:pPr>
      <w:r>
        <w:t>a derived transition scale,</w:t>
      </w:r>
    </w:p>
    <w:p>
      <w:pPr>
        <w:pStyle w:val="ListBullet"/>
      </w:pPr>
      <w:r>
        <w:t>and a theorem-level fixed-point result forcing the deep-IR equivalent of q = 3.</w:t>
      </w:r>
    </w:p>
    <w:p>
      <w:pPr>
        <w:pStyle w:val="Heading3"/>
      </w:pPr>
      <w:r>
        <w:t>What the new viability audit adds</w:t>
      </w:r>
    </w:p>
    <w:p>
      <w:pPr>
        <w:jc w:val="both"/>
      </w:pPr>
      <w:r>
        <w:t>The q = 3 target is still not derived from the local T^3 backbone.</w:t>
      </w:r>
    </w:p>
    <w:p>
      <w:pPr>
        <w:jc w:val="both"/>
      </w:pPr>
      <w:r>
        <w:t>The core T^3 derivation layer currently shows:</w:t>
      </w:r>
    </w:p>
    <w:p>
      <w:pPr>
        <w:pStyle w:val="ListBullet"/>
      </w:pPr>
      <w:r>
        <w:t>bridge structure</w:t>
      </w:r>
    </w:p>
    <w:p>
      <w:pPr>
        <w:pStyle w:val="ListBullet"/>
      </w:pPr>
      <w:r>
        <w:t>full-lattice renormalization geometry</w:t>
      </w:r>
    </w:p>
    <w:p>
      <w:pPr>
        <w:pStyle w:val="ListBullet"/>
      </w:pPr>
      <w:r>
        <w:t>open-systems reduction</w:t>
      </w:r>
    </w:p>
    <w:p>
      <w:pPr>
        <w:jc w:val="both"/>
      </w:pPr>
      <w:r>
        <w:t>It does not yet show:</w:t>
      </w:r>
    </w:p>
    <w:p>
      <w:pPr>
        <w:pStyle w:val="ListBullet"/>
      </w:pPr>
      <w:r>
        <w:t>a fixed-point theorem forcing q = 3</w:t>
      </w:r>
    </w:p>
    <w:p>
      <w:pPr>
        <w:pStyle w:val="ListBullet"/>
      </w:pPr>
      <w:r>
        <w:t>an anomalous dimension or beta-function that outputs the deep-IR exponent</w:t>
      </w:r>
    </w:p>
    <w:p>
      <w:pPr>
        <w:pStyle w:val="ListBullet"/>
      </w:pPr>
      <w:r>
        <w:t>a derived transition scale</w:t>
      </w:r>
    </w:p>
    <w:p>
      <w:pPr>
        <w:pStyle w:val="Heading3"/>
      </w:pPr>
      <w:r>
        <w:t>What the new shape diagnostics add</w:t>
      </w:r>
    </w:p>
    <w:p>
      <w:pPr>
        <w:jc w:val="both"/>
      </w:pPr>
      <w:r>
        <w:t>The direct gate now checks whether high scores still hide structured residuals.</w:t>
      </w:r>
    </w:p>
    <w:p>
      <w:pPr>
        <w:jc w:val="both"/>
      </w:pPr>
      <w:r>
        <w:t>Current result:</w:t>
      </w:r>
    </w:p>
    <w:p>
      <w:pPr>
        <w:pStyle w:val="ListBullet"/>
      </w:pPr>
      <w:r>
        <w:t>no contender leaves residuals that look close to white noise</w:t>
      </w:r>
    </w:p>
    <w:p>
      <w:pPr>
        <w:pStyle w:val="ListBullet"/>
      </w:pPr>
      <w:r>
        <w:t>the residuals remain low-frequency and serially correlated</w:t>
      </w:r>
    </w:p>
    <w:p>
      <w:pPr>
        <w:pStyle w:val="ListBullet"/>
      </w:pPr>
      <w:r>
        <w:t>this means the present best branches still match envelope behavior better than radial shape behavior</w:t>
      </w:r>
    </w:p>
    <w:p>
      <w:pPr>
        <w:jc w:val="both"/>
      </w:pPr>
      <w:r>
        <w:t>Visuals generated locally:</w:t>
      </w:r>
    </w:p>
    <w:p>
      <w:pPr>
        <w:pStyle w:val="ListBullet"/>
      </w:pPr>
      <w:r>
        <w:t>output/audit/csr_direct_gate_residuals_by_galaxy.svg</w:t>
      </w:r>
    </w:p>
    <w:p>
      <w:pPr>
        <w:pStyle w:val="ListBullet"/>
      </w:pPr>
      <w:r>
        <w:t>output/audit/csr_direct_gate_shape_metrics.svg</w:t>
      </w:r>
    </w:p>
    <w:p>
      <w:pPr>
        <w:pStyle w:val="Heading3"/>
      </w:pPr>
      <w:r>
        <w:t>What the branch-admission gate changes</w:t>
      </w:r>
    </w:p>
    <w:p>
      <w:pPr>
        <w:jc w:val="both"/>
      </w:pPr>
      <w:r>
        <w:t>Future branches are blocked unless they derive:</w:t>
      </w:r>
    </w:p>
    <w:p>
      <w:pPr>
        <w:pStyle w:val="ListBullet"/>
      </w:pPr>
      <w:r>
        <w:t>transition scale</w:t>
      </w:r>
    </w:p>
    <w:p>
      <w:pPr>
        <w:pStyle w:val="ListBullet"/>
      </w:pPr>
      <w:r>
        <w:t>quotient normalization</w:t>
      </w:r>
    </w:p>
    <w:p>
      <w:pPr>
        <w:pStyle w:val="ListBullet"/>
      </w:pPr>
      <w:r>
        <w:t>low-acceleration bend</w:t>
      </w:r>
    </w:p>
    <w:p>
      <w:pPr>
        <w:jc w:val="both"/>
      </w:pPr>
      <w:r>
        <w:t>That removes the old blind-branch-search loophole.</w:t>
      </w:r>
    </w:p>
    <w:p>
      <w:pPr>
        <w:pStyle w:val="Heading3"/>
      </w:pPr>
      <w:r>
        <w:t>Sensitivity warning</w:t>
      </w:r>
    </w:p>
    <w:p>
      <w:pPr>
        <w:jc w:val="both"/>
      </w:pPr>
      <w:r>
        <w:t>On the broader THINGS/Leroy 9-galaxy sensitivity set, the current best envelope degrades sharply:</w:t>
      </w:r>
    </w:p>
    <w:p>
      <w:pPr>
        <w:pStyle w:val="ListBullet"/>
      </w:pPr>
      <w:r>
        <w:t>scale_invariant_template aggregate drops from 0.8776 to 0.4170</w:t>
      </w:r>
    </w:p>
    <w:p>
      <w:pPr>
        <w:pStyle w:val="ListBullet"/>
      </w:pPr>
      <w:r>
        <w:t>constraint_derived_root_law aggregate drops from 0.8209 to 0.1047</w:t>
      </w:r>
    </w:p>
    <w:p>
      <w:pPr>
        <w:jc w:val="both"/>
      </w:pPr>
      <w:r>
        <w:t>So the current best direct-gate result should not be read as a generalization result.</w:t>
      </w:r>
    </w:p>
    <w:p>
      <w:pPr>
        <w:pStyle w:val="Heading3"/>
      </w:pPr>
      <w:r>
        <w:t>Observed-Gate Expansion Status</w:t>
      </w:r>
    </w:p>
    <w:p>
      <w:pPr>
        <w:jc w:val="both"/>
      </w:pPr>
      <w:r>
        <w:t>The local workspace cannot honestly expand the direct observed decomposition-grade main gate beyond three galaxies. THINGS and LITTLE THINGS expand the clean candidate pool to 29 aliases locally, but the article tables do not provide the paired per-radius baryonic decomposition needed for a larger clean main gate.</w:t>
      </w:r>
    </w:p>
    <w:p>
      <w:pPr>
        <w:pStyle w:val="Heading2"/>
      </w:pPr>
      <w:r>
        <w:t>Industry Summary</w:t>
      </w:r>
    </w:p>
    <w:p>
      <w:pPr>
        <w:pStyle w:val="Heading3"/>
      </w:pPr>
      <w:r>
        <w:t>What is actually measured on this machine</w:t>
      </w:r>
    </w:p>
    <w:p>
      <w:pPr>
        <w:jc w:val="both"/>
      </w:pPr>
      <w:r>
        <w:t>The local engineering suite now measures:</w:t>
      </w:r>
    </w:p>
    <w:p>
      <w:pPr>
        <w:pStyle w:val="ListBullet"/>
      </w:pPr>
      <w:r>
        <w:t>wall-clock time</w:t>
      </w:r>
    </w:p>
    <w:p>
      <w:pPr>
        <w:pStyle w:val="ListBullet"/>
      </w:pPr>
      <w:r>
        <w:t>process CPU time</w:t>
      </w:r>
    </w:p>
    <w:p>
      <w:pPr>
        <w:pStyle w:val="ListBullet"/>
      </w:pPr>
      <w:r>
        <w:t>peak Python memory</w:t>
      </w:r>
    </w:p>
    <w:p>
      <w:pPr>
        <w:pStyle w:val="ListBullet"/>
      </w:pPr>
      <w:r>
        <w:t>OS working set / peak working set / private usage</w:t>
      </w:r>
    </w:p>
    <w:p>
      <w:pPr>
        <w:pStyle w:val="ListBullet"/>
      </w:pPr>
      <w:r>
        <w:t>processor utility</w:t>
      </w:r>
    </w:p>
    <w:p>
      <w:pPr>
        <w:pStyle w:val="ListBullet"/>
      </w:pPr>
      <w:r>
        <w:t>processor frequency</w:t>
      </w:r>
    </w:p>
    <w:p>
      <w:pPr>
        <w:pStyle w:val="ListBullet"/>
      </w:pPr>
      <w:r>
        <w:t>thermal-zone telemetry</w:t>
      </w:r>
    </w:p>
    <w:p>
      <w:pPr>
        <w:pStyle w:val="ListBullet"/>
      </w:pPr>
      <w:r>
        <w:t>thread-count estimate</w:t>
      </w:r>
    </w:p>
    <w:p>
      <w:pPr>
        <w:pStyle w:val="ListBullet"/>
      </w:pPr>
      <w:r>
        <w:t>run-to-run jitter</w:t>
      </w:r>
    </w:p>
    <w:p>
      <w:pPr>
        <w:pStyle w:val="ListBullet"/>
      </w:pPr>
      <w:r>
        <w:t>user-space power telemetry when the host exposes nonzero counters</w:t>
      </w:r>
    </w:p>
    <w:p>
      <w:pPr>
        <w:pStyle w:val="Heading3"/>
      </w:pPr>
      <w:r>
        <w:t>What is not claimed</w:t>
      </w:r>
    </w:p>
    <w:p>
      <w:pPr>
        <w:pStyle w:val="ListBullet"/>
      </w:pPr>
      <w:r>
        <w:t>no verified heat reduction claim as physics evidence</w:t>
      </w:r>
    </w:p>
    <w:p>
      <w:pPr>
        <w:pStyle w:val="ListBullet"/>
      </w:pPr>
      <w:r>
        <w:t>no verified power reduction claim</w:t>
      </w:r>
    </w:p>
    <w:p>
      <w:pPr>
        <w:pStyle w:val="ListBullet"/>
      </w:pPr>
      <w:r>
        <w:t>no HFT, MedTech, or energy-saving claim is supported by current measurements</w:t>
      </w:r>
    </w:p>
    <w:p>
      <w:pPr>
        <w:pStyle w:val="Heading3"/>
      </w:pPr>
      <w:r>
        <w:t>Current local result</w:t>
      </w:r>
    </w:p>
    <w:p>
      <w:pPr>
        <w:pStyle w:val="ListBullet"/>
      </w:pPr>
      <w:r>
        <w:t>thread caps are active in the new suite</w:t>
      </w:r>
    </w:p>
    <w:p>
      <w:pPr>
        <w:pStyle w:val="ListBullet"/>
      </w:pPr>
      <w:r>
        <w:t>processor, thermal, and process-memory telemetry are available from user space</w:t>
      </w:r>
    </w:p>
    <w:p>
      <w:pPr>
        <w:pStyle w:val="ListBullet"/>
      </w:pPr>
      <w:r>
        <w:t>no workload shows a verified wall-time gain with non-overlapping confidence intervals</w:t>
      </w:r>
    </w:p>
    <w:p>
      <w:pPr>
        <w:pStyle w:val="ListBullet"/>
      </w:pPr>
      <w:r>
        <w:t>no workload shows a verified thermal reduction under the suite rule</w:t>
      </w:r>
    </w:p>
    <w:p>
      <w:pPr>
        <w:pStyle w:val="ListBullet"/>
      </w:pPr>
      <w:r>
        <w:t>user-space power telemetry is now measurable on this host via Energy Meter, but no verified energy-efficiency gain has been established</w:t>
      </w:r>
    </w:p>
    <w:p>
      <w:pPr>
        <w:pStyle w:val="Heading2"/>
      </w:pPr>
      <w:r>
        <w:t>VC Summary</w:t>
      </w:r>
    </w:p>
    <w:p>
      <w:pPr>
        <w:pStyle w:val="Heading3"/>
      </w:pPr>
      <w:r>
        <w:t>What is evidence-backed</w:t>
      </w:r>
    </w:p>
    <w:p>
      <w:pPr>
        <w:pStyle w:val="ListBullet"/>
      </w:pPr>
      <w:r>
        <w:t>the program now has a strict falsification workflow,</w:t>
      </w:r>
    </w:p>
    <w:p>
      <w:pPr>
        <w:pStyle w:val="ListBullet"/>
      </w:pPr>
      <w:r>
        <w:t>a reproducible reality suite,</w:t>
      </w:r>
    </w:p>
    <w:p>
      <w:pPr>
        <w:pStyle w:val="ListBullet"/>
      </w:pPr>
      <w:r>
        <w:t>a hostile external-review packet,</w:t>
      </w:r>
    </w:p>
    <w:p>
      <w:pPr>
        <w:pStyle w:val="ListBullet"/>
      </w:pPr>
      <w:r>
        <w:t>a direct observed main gate,</w:t>
      </w:r>
    </w:p>
    <w:p>
      <w:pPr>
        <w:pStyle w:val="ListBullet"/>
      </w:pPr>
      <w:r>
        <w:t>a shape-diagnostics layer,</w:t>
      </w:r>
    </w:p>
    <w:p>
      <w:pPr>
        <w:pStyle w:val="ListBullet"/>
      </w:pPr>
      <w:r>
        <w:t>a hard branch-admission policy,</w:t>
      </w:r>
    </w:p>
    <w:p>
      <w:pPr>
        <w:pStyle w:val="ListBullet"/>
      </w:pPr>
      <w:r>
        <w:t>a telemetry-aware local efficiency suite,</w:t>
      </w:r>
    </w:p>
    <w:p>
      <w:pPr>
        <w:pStyle w:val="ListBullet"/>
      </w:pPr>
      <w:r>
        <w:t>and a sharply defined theorem-level bottleneck.</w:t>
      </w:r>
    </w:p>
    <w:p>
      <w:pPr>
        <w:jc w:val="both"/>
      </w:pPr>
      <w:r>
        <w:t>This infrastructure exists to ensure that if the fixed-point derivation succeeds, its validity can be verified independently and immediately, and if it fails, the failure is unambiguous.</w:t>
      </w:r>
    </w:p>
    <w:p>
      <w:pPr>
        <w:pStyle w:val="Heading3"/>
      </w:pPr>
      <w:r>
        <w:t>What is not evidence-backed</w:t>
      </w:r>
    </w:p>
    <w:p>
      <w:pPr>
        <w:pStyle w:val="ListBullet"/>
      </w:pPr>
      <w:r>
        <w:t>revenue projections</w:t>
      </w:r>
    </w:p>
    <w:p>
      <w:pPr>
        <w:pStyle w:val="ListBullet"/>
      </w:pPr>
      <w:r>
        <w:t>valuation claims</w:t>
      </w:r>
    </w:p>
    <w:p>
      <w:pPr>
        <w:pStyle w:val="ListBullet"/>
      </w:pPr>
      <w:r>
        <w:t>monopoly or platform claims</w:t>
      </w:r>
    </w:p>
    <w:p>
      <w:pPr>
        <w:pStyle w:val="ListBullet"/>
      </w:pPr>
      <w:r>
        <w:t>claims of a finished theory</w:t>
      </w:r>
    </w:p>
    <w:p>
      <w:pPr>
        <w:pStyle w:val="Heading3"/>
      </w:pPr>
      <w:r>
        <w:t>Evidence-based opportunity framing</w:t>
      </w:r>
    </w:p>
    <w:p>
      <w:pPr>
        <w:jc w:val="both"/>
      </w:pPr>
      <w:r>
        <w:t>If CSR becomes real, the first fundable milestone is not a platform story. It is one narrow technical result:</w:t>
      </w:r>
    </w:p>
    <w:p>
      <w:pPr>
        <w:pStyle w:val="ListBullet"/>
      </w:pPr>
      <w:r>
        <w:t>a typed derivation that produces the correct deep-IR scaling target,</w:t>
      </w:r>
    </w:p>
    <w:p>
      <w:pPr>
        <w:pStyle w:val="ListBullet"/>
      </w:pPr>
      <w:r>
        <w:t>derives the transition scale,</w:t>
      </w:r>
    </w:p>
    <w:p>
      <w:pPr>
        <w:pStyle w:val="ListBullet"/>
      </w:pPr>
      <w:r>
        <w:t>derives the quotient normalization,</w:t>
      </w:r>
    </w:p>
    <w:p>
      <w:pPr>
        <w:pStyle w:val="ListBullet"/>
      </w:pPr>
      <w:r>
        <w:t>and beats the direct observed gate while surviving null, ablation, and shape controls.</w:t>
      </w:r>
    </w:p>
    <w:p>
      <w:pPr>
        <w:jc w:val="both"/>
      </w:pPr>
      <w:r>
        <w:t>That is the only evidence-based frontier worth presenting as a serious technical opportunity today.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Evidence Pack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