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External 20-Galaxy Benchmark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Result</w:t>
      </w:r>
    </w:p>
    <w:p>
      <w:pPr>
        <w:jc w:val="both"/>
      </w:pPr>
      <w:r>
        <w:t>The workspace now contains an alias-clean external rotation-curve set with 20 galaxies drawn from two local files:</w:t>
      </w:r>
    </w:p>
    <w:p>
      <w:pPr>
        <w:pStyle w:val="ListBullet"/>
      </w:pPr>
      <w:r>
        <w:t>RCsmooth.0701.dat</w:t>
      </w:r>
    </w:p>
    <w:p>
      <w:pPr>
        <w:pStyle w:val="ListBullet"/>
      </w:pPr>
      <w:r>
        <w:t>galaxy_massmodels.dat</w:t>
      </w:r>
    </w:p>
    <w:p>
      <w:pPr>
        <w:jc w:val="both"/>
      </w:pPr>
      <w:r>
        <w:t>The benchmark audit is in csr_external_20_dataset_benchmark.json.</w:t>
      </w:r>
    </w:p>
    <w:p>
      <w:pPr>
        <w:pStyle w:val="Heading2"/>
      </w:pPr>
      <w:r>
        <w:t>Critical Caveat</w:t>
      </w:r>
    </w:p>
    <w:p>
      <w:pPr>
        <w:jc w:val="both"/>
      </w:pPr>
      <w:r>
        <w:t>This is a clean external rotation-curve set.</w:t>
      </w:r>
    </w:p>
    <w:p>
      <w:pPr>
        <w:jc w:val="both"/>
      </w:pPr>
      <w:r>
        <w:t>It is not yet a clean 20-galaxy baryonic-decomposition set in the strong sense required by the falsifiability clause.</w:t>
      </w:r>
    </w:p>
    <w:p>
      <w:pPr>
        <w:jc w:val="both"/>
      </w:pPr>
      <w:r>
        <w:t>Only 3 of the 20 galaxies have nonzero published baryonic component terms in the current local files:</w:t>
      </w:r>
    </w:p>
    <w:p>
      <w:pPr>
        <w:pStyle w:val="ListBullet"/>
      </w:pPr>
      <w:r>
        <w:t>m33</w:t>
      </w:r>
    </w:p>
    <w:p>
      <w:pPr>
        <w:pStyle w:val="ListBullet"/>
      </w:pPr>
      <w:r>
        <w:t>n1560</w:t>
      </w:r>
    </w:p>
    <w:p>
      <w:pPr>
        <w:pStyle w:val="ListBullet"/>
      </w:pPr>
      <w:r>
        <w:t>n5533</w:t>
      </w:r>
    </w:p>
    <w:p>
      <w:pPr>
        <w:jc w:val="both"/>
      </w:pPr>
      <w:r>
        <w:t>The other 17 clean RCsmooth galaxies are sample-II style entries with luminous terms set to zero in the file.</w:t>
      </w:r>
    </w:p>
    <w:p>
      <w:pPr>
        <w:jc w:val="both"/>
      </w:pPr>
      <w:r>
        <w:t>So the sample is large enough for an external rotation-curve check, but not large enough for the final decomposition-grade falsification test.</w:t>
      </w:r>
    </w:p>
    <w:p>
      <w:pPr>
        <w:pStyle w:val="Heading2"/>
      </w:pPr>
      <w:r>
        <w:t>Aggregate Pointwise R^2</w:t>
      </w:r>
    </w:p>
    <w:p>
      <w:pPr>
        <w:jc w:val="both"/>
      </w:pPr>
      <w:r>
        <w:t>On the full alias-clean 20-galaxy set:</w:t>
      </w:r>
    </w:p>
    <w:p>
      <w:pPr>
        <w:pStyle w:val="ListBullet"/>
      </w:pPr>
      <w:r>
        <w:t>derived CSR zero-force: -1.1456</w:t>
      </w:r>
    </w:p>
    <w:p>
      <w:pPr>
        <w:pStyle w:val="ListBullet"/>
      </w:pPr>
      <w:r>
        <w:t>baryons-only: -1.1456</w:t>
      </w:r>
    </w:p>
    <w:p>
      <w:pPr>
        <w:pStyle w:val="ListBullet"/>
      </w:pPr>
      <w:r>
        <w:t>MOND: -1.0421</w:t>
      </w:r>
    </w:p>
    <w:p>
      <w:pPr>
        <w:pStyle w:val="ListBullet"/>
      </w:pPr>
      <w:r>
        <w:t>legacy frozen MSQECC: -1.0488</w:t>
      </w:r>
    </w:p>
    <w:p>
      <w:pPr>
        <w:pStyle w:val="Heading2"/>
      </w:pPr>
      <w:r>
        <w:t>Median Per-Galaxy R^2</w:t>
      </w:r>
    </w:p>
    <w:p>
      <w:pPr>
        <w:pStyle w:val="ListBullet"/>
      </w:pPr>
      <w:r>
        <w:t>derived CSR zero-force: -9.2173</w:t>
      </w:r>
    </w:p>
    <w:p>
      <w:pPr>
        <w:pStyle w:val="ListBullet"/>
      </w:pPr>
      <w:r>
        <w:t>baryons-only: -9.2173</w:t>
      </w:r>
    </w:p>
    <w:p>
      <w:pPr>
        <w:pStyle w:val="ListBullet"/>
      </w:pPr>
      <w:r>
        <w:t>MOND: -8.5282</w:t>
      </w:r>
    </w:p>
    <w:p>
      <w:pPr>
        <w:pStyle w:val="ListBullet"/>
      </w:pPr>
      <w:r>
        <w:t>legacy frozen MSQECC: -8.5282</w:t>
      </w:r>
    </w:p>
    <w:p>
      <w:pPr>
        <w:pStyle w:val="Heading2"/>
      </w:pPr>
      <w:r>
        <w:t>Interpretation</w:t>
      </w:r>
    </w:p>
    <w:p>
      <w:pPr>
        <w:jc w:val="both"/>
      </w:pPr>
      <w:r>
        <w:t>This result is harsh but clean.</w:t>
      </w:r>
    </w:p>
    <w:p>
      <w:pPr>
        <w:jc w:val="both"/>
      </w:pPr>
      <w:r>
        <w:t>At the current derivation order, the benchmarkable CSR kernel is still zero-force, so it reduces to baryons-only and fails badly on the external set.</w:t>
      </w:r>
    </w:p>
    <w:p>
      <w:pPr>
        <w:jc w:val="both"/>
      </w:pPr>
      <w:r>
        <w:t>The legacy frozen MSQECC fit also fails badly here.</w:t>
      </w:r>
    </w:p>
    <w:p>
      <w:pPr>
        <w:jc w:val="both"/>
      </w:pPr>
      <w:r>
        <w:t>MOND is less bad, but still negative overall on this mixed external set.</w:t>
      </w:r>
    </w:p>
    <w:p>
      <w:pPr>
        <w:pStyle w:val="Heading2"/>
      </w:pPr>
      <w:r>
        <w:t>What This Does And Does Not Settle</w:t>
      </w:r>
    </w:p>
    <w:p>
      <w:pPr>
        <w:jc w:val="both"/>
      </w:pPr>
      <w:r>
        <w:t>It does settle that the current derived CSR kernel is not externally viable.</w:t>
      </w:r>
    </w:p>
    <w:p>
      <w:pPr>
        <w:jc w:val="both"/>
      </w:pPr>
      <w:r>
        <w:t>It does not settle the final falsifiability clause because the decomposition-grade subset is still only 3 galaxies locally, not 20+.</w:t>
      </w:r>
    </w:p>
    <w:p>
      <w:pPr>
        <w:pStyle w:val="Heading2"/>
      </w:pPr>
      <w:r>
        <w:t>Bottom Line</w:t>
      </w:r>
    </w:p>
    <w:p>
      <w:pPr>
        <w:jc w:val="both"/>
      </w:pPr>
      <w:r>
        <w:t>There is now a real clean external sample for pressure-testing claims.</w:t>
      </w:r>
    </w:p>
    <w:p>
      <w:pPr>
        <w:jc w:val="both"/>
      </w:pPr>
      <w:r>
        <w:t>It does not rescue CSR.</w:t>
      </w:r>
    </w:p>
    <w:p>
      <w:pPr>
        <w:jc w:val="both"/>
      </w:pPr>
      <w:r>
        <w:t>It shows that the next surviving route has to come from a new derivation, not from the current zero-force bridge limit.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EXTERNAL 20-GALAXY BENCHMARK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External 20-Galaxy Benchmark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