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Falsifiability Clause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Frozen Clause</w:t>
      </w:r>
    </w:p>
    <w:p>
      <w:pPr>
        <w:jc w:val="both"/>
      </w:pPr>
      <w:r>
        <w:t>CSR is falsified if any of the following occur:</w:t>
      </w:r>
    </w:p>
    <w:p>
      <w:pPr>
        <w:pStyle w:val="ListNumber"/>
      </w:pPr>
      <w:r>
        <w:t>the anticommuting bridge fails to survive the many-body T^3 extension as a nonzero local matter channel in the thermodynamic limit</w:t>
      </w:r>
    </w:p>
    <w:p>
      <w:pPr>
        <w:pStyle w:val="ListNumber"/>
      </w:pPr>
      <w:r>
        <w:t>no dimensionally consistent map from the proved bridge rate to a deterministic orbital kernel can be derived without introducing a new empirical scale by hand</w:t>
      </w:r>
    </w:p>
    <w:p>
      <w:pPr>
        <w:pStyle w:val="ListNumber"/>
      </w:pPr>
      <w:r>
        <w:t>the first fully derived frozen CSR galaxy law scores negative median per-galaxy R^2 on an alias-resolved sample of at least 20 non-SPARC galaxies with published baryonic decompositions</w:t>
      </w:r>
    </w:p>
    <w:p>
      <w:pPr>
        <w:jc w:val="both"/>
      </w:pPr>
      <w:r>
        <w:t>This clause is public and should stay unchanged until one of the three items is met or failed directly.</w:t>
      </w:r>
    </w:p>
    <w:p>
      <w:pPr>
        <w:pStyle w:val="Heading2"/>
      </w:pPr>
      <w:r>
        <w:t>Why It Is Written This Way</w:t>
      </w:r>
    </w:p>
    <w:p>
      <w:pPr>
        <w:jc w:val="both"/>
      </w:pPr>
      <w:r>
        <w:t>The first clause is algebraic.</w:t>
      </w:r>
    </w:p>
    <w:p>
      <w:pPr>
        <w:jc w:val="both"/>
      </w:pPr>
      <w:r>
        <w:t>The second clause is mechanistic.</w:t>
      </w:r>
    </w:p>
    <w:p>
      <w:pPr>
        <w:jc w:val="both"/>
      </w:pPr>
      <w:r>
        <w:t>The third clause is empirical.</w:t>
      </w:r>
    </w:p>
    <w:p>
      <w:pPr>
        <w:jc w:val="both"/>
      </w:pPr>
      <w:r>
        <w:t>Together they force CSR to be a real physical programme rather than an interpretation layer that can absorb any outcome.</w:t>
      </w:r>
    </w:p>
    <w:p>
      <w:pPr>
        <w:pStyle w:val="Heading2"/>
      </w:pPr>
      <w:r>
        <w:t>Current State Relative To The Clause</w:t>
      </w:r>
    </w:p>
    <w:p>
      <w:pPr>
        <w:pStyle w:val="ListBullet"/>
      </w:pPr>
      <w:r>
        <w:t>Clause 1: not failed; the local cubic-T^3 bridge survives with a factor-of-four rate renormalization</w:t>
      </w:r>
    </w:p>
    <w:p>
      <w:pPr>
        <w:pStyle w:val="ListBullet"/>
      </w:pPr>
      <w:r>
        <w:t>Clause 2: tightened materially; the minimal Hermitian bridge fails, and the first non-Hermitian, retarded, and collective tested representatives produce drag or kicks rather than a conservative orbital kernel</w:t>
      </w:r>
    </w:p>
    <w:p>
      <w:pPr>
        <w:pStyle w:val="ListBullet"/>
      </w:pPr>
      <w:r>
        <w:t>Clause 2 update: the first nonlocal scalar closure and the first disk-geometric tensor closure both remain noncompetitive, so the surviving search space is now a qualitatively different macroscopic closure rather than a better local scalar ansatz</w:t>
      </w:r>
    </w:p>
    <w:p>
      <w:pPr>
        <w:pStyle w:val="ListBullet"/>
      </w:pPr>
      <w:r>
        <w:t>Clause 3: still not fully testable from the current workspace; the local files still provide only a clean 3-galaxy decomposition-grade benchmark, but the THINGS/Leroy scaffold now fixes a frozen list of 11 clean non-SPARC aliases with radial baryonic profiles that need matched rotation-curve tables</w:t>
      </w:r>
    </w:p>
    <w:p>
      <w:pPr>
        <w:pStyle w:val="ListBullet"/>
      </w:pPr>
      <w:r>
        <w:t>Hardware clue status: exchange-plus-reset now shows real excess relaxation on IBM hardware above baseline and, on ibm_marrakesh, above the zz_reset control. This supports the reset-channel branch but does not satisfy Clause 2 because the hardware clue is not yet a derived orbital kernel.</w:t>
      </w:r>
    </w:p>
    <w:p>
      <w:pPr>
        <w:pStyle w:val="Heading2"/>
      </w:pPr>
      <w:r>
        <w:t>Bottom Line</w:t>
      </w:r>
    </w:p>
    <w:p>
      <w:pPr>
        <w:jc w:val="both"/>
      </w:pPr>
      <w:r>
        <w:t>CSR is not validated by this clause yet.</w:t>
      </w:r>
    </w:p>
    <w:p>
      <w:pPr>
        <w:jc w:val="both"/>
      </w:pPr>
      <w:r>
        <w:t>It is also not protected from it.</w:t>
      </w:r>
    </w:p>
    <w:p>
      <w:pPr>
        <w:jc w:val="both"/>
      </w:pPr>
      <w:r>
        <w:t>That is the point.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FALSIFIABILITY CLAUSE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Falsifiability Clause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