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Fast Solution Funnel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stage-gated pruning rule for the CSR search.</w:t>
      </w:r>
    </w:p>
    <w:p>
      <w:pPr>
        <w:jc w:val="both"/>
      </w:pPr>
      <w:r>
        <w:t>The machine-readable audit is in output/audit/csr_fast_solution_funnel.json.</w:t>
      </w:r>
    </w:p>
    <w:p>
      <w:pPr>
        <w:pStyle w:val="Heading2"/>
      </w:pPr>
      <w:r>
        <w:t>Why This Exists</w:t>
      </w:r>
    </w:p>
    <w:p>
      <w:pPr>
        <w:jc w:val="both"/>
      </w:pPr>
      <w:r>
        <w:t>The problem is no longer a shortage of candidate branches.</w:t>
      </w:r>
    </w:p>
    <w:p>
      <w:pPr>
        <w:jc w:val="both"/>
      </w:pPr>
      <w:r>
        <w:t>The problem is spending time on branches that already fail cheap structural gates.</w:t>
      </w:r>
    </w:p>
    <w:p>
      <w:pPr>
        <w:jc w:val="both"/>
      </w:pPr>
      <w:r>
        <w:t>The funnel now enforces this order:</w:t>
      </w:r>
    </w:p>
    <w:p>
      <w:pPr>
        <w:pStyle w:val="ListNumber"/>
      </w:pPr>
      <w:r>
        <w:t>structural triple test</w:t>
      </w:r>
    </w:p>
    <w:p>
      <w:pPr>
        <w:pStyle w:val="ListNumber"/>
      </w:pPr>
      <w:r>
        <w:t>SPARC holdout gate</w:t>
      </w:r>
    </w:p>
    <w:p>
      <w:pPr>
        <w:pStyle w:val="ListNumber"/>
      </w:pPr>
      <w:r>
        <w:t>paired external aggregate gate</w:t>
      </w:r>
    </w:p>
    <w:p>
      <w:pPr>
        <w:pStyle w:val="ListNumber"/>
      </w:pPr>
      <w:r>
        <w:t>paired external median stability gate</w:t>
      </w:r>
    </w:p>
    <w:p>
      <w:pPr>
        <w:pStyle w:val="Heading2"/>
      </w:pPr>
      <w:r>
        <w:t>Current Gates</w:t>
      </w:r>
    </w:p>
    <w:p>
      <w:pPr>
        <w:jc w:val="both"/>
      </w:pPr>
      <w:r>
        <w:t>Structural triple test:</w:t>
      </w:r>
    </w:p>
    <w:p>
      <w:pPr>
        <w:pStyle w:val="ListBullet"/>
      </w:pPr>
      <w:r>
        <w:t>RAR low-acceleration slope target 0.5 +/- 0.2</w:t>
      </w:r>
    </w:p>
    <w:p>
      <w:pPr>
        <w:pStyle w:val="ListBullet"/>
      </w:pPr>
      <w:r>
        <w:t>MDAR low-acceleration slope target -0.5 +/- 0.2</w:t>
      </w:r>
    </w:p>
    <w:p>
      <w:pPr>
        <w:pStyle w:val="ListBullet"/>
      </w:pPr>
      <w:r>
        <w:t>BTFR slope target 4.0 +/- 0.5</w:t>
      </w:r>
    </w:p>
    <w:p>
      <w:pPr>
        <w:jc w:val="both"/>
      </w:pPr>
      <w:r>
        <w:t>Benchmark gates:</w:t>
      </w:r>
    </w:p>
    <w:p>
      <w:pPr>
        <w:pStyle w:val="ListBullet"/>
      </w:pPr>
      <w:r>
        <w:t>holdout minimum: 0.65</w:t>
      </w:r>
    </w:p>
    <w:p>
      <w:pPr>
        <w:pStyle w:val="ListBullet"/>
      </w:pPr>
      <w:r>
        <w:t>paired external aggregate minimum: 0.15</w:t>
      </w:r>
    </w:p>
    <w:p>
      <w:pPr>
        <w:pStyle w:val="ListBullet"/>
      </w:pPr>
      <w:r>
        <w:t>paired external median floor: -1.5</w:t>
      </w:r>
    </w:p>
    <w:p>
      <w:pPr>
        <w:pStyle w:val="Heading2"/>
      </w:pPr>
      <w:r>
        <w:t>Current Dispositions</w:t>
      </w:r>
    </w:p>
    <w:p>
      <w:pPr>
        <w:pStyle w:val="ListBullet"/>
      </w:pPr>
      <w:r>
        <w:t>jeans: kill</w:t>
      </w:r>
    </w:p>
    <w:p>
      <w:pPr>
        <w:pStyle w:val="ListBullet"/>
      </w:pPr>
      <w:r>
        <w:t>weighted_hodge: kill</w:t>
      </w:r>
    </w:p>
    <w:p>
      <w:pPr>
        <w:pStyle w:val="ListBullet"/>
      </w:pPr>
      <w:r>
        <w:t>tensorial_hodge: kill</w:t>
      </w:r>
    </w:p>
    <w:p>
      <w:pPr>
        <w:pStyle w:val="ListBullet"/>
      </w:pPr>
      <w:r>
        <w:t>retarded_hodge: kill</w:t>
      </w:r>
    </w:p>
    <w:p>
      <w:pPr>
        <w:pStyle w:val="ListBullet"/>
      </w:pPr>
      <w:r>
        <w:t>scale_invariant_operator: hold as constraint template</w:t>
      </w:r>
    </w:p>
    <w:p>
      <w:pPr>
        <w:pStyle w:val="Heading2"/>
      </w:pPr>
      <w:r>
        <w:t>Reading</w:t>
      </w:r>
    </w:p>
    <w:p>
      <w:pPr>
        <w:jc w:val="both"/>
      </w:pPr>
      <w:r>
        <w:t>The important new result is not only that the scale-invariant branch performed well.</w:t>
      </w:r>
    </w:p>
    <w:p>
      <w:pPr>
        <w:jc w:val="both"/>
      </w:pPr>
      <w:r>
        <w:t>It is that the first branch to pass the external aggregate gate is also the first branch to pass the structural triple test.</w:t>
      </w:r>
    </w:p>
    <w:p>
      <w:pPr>
        <w:jc w:val="both"/>
      </w:pPr>
      <w:r>
        <w:t>That means the search bottleneck was structural, not just numerical.</w:t>
      </w:r>
    </w:p>
    <w:p>
      <w:pPr>
        <w:jc w:val="both"/>
      </w:pPr>
      <w:r>
        <w:t>At the same time, the scale-invariant branch is not yet a derived CSR law. It passes because it hard-wires the MOND-like asymptotics and then modulates them only weakly with CSR response data.</w:t>
      </w:r>
    </w:p>
    <w:p>
      <w:pPr>
        <w:jc w:val="both"/>
      </w:pPr>
      <w:r>
        <w:t>So its role is:</w:t>
      </w:r>
    </w:p>
    <w:p>
      <w:pPr>
        <w:pStyle w:val="ListBullet"/>
      </w:pPr>
      <w:r>
        <w:t>keep as a design constraint</w:t>
      </w:r>
    </w:p>
    <w:p>
      <w:pPr>
        <w:pStyle w:val="ListBullet"/>
      </w:pPr>
      <w:r>
        <w:t>do not claim as the derivation</w:t>
      </w:r>
    </w:p>
    <w:p>
      <w:pPr>
        <w:pStyle w:val="Heading2"/>
      </w:pPr>
      <w:r>
        <w:t>Bottom Line</w:t>
      </w:r>
    </w:p>
    <w:p>
      <w:pPr>
        <w:jc w:val="both"/>
      </w:pPr>
      <w:r>
        <w:t>The fastest path now is:</w:t>
      </w:r>
    </w:p>
    <w:p>
      <w:pPr>
        <w:pStyle w:val="ListBullet"/>
      </w:pPr>
      <w:r>
        <w:t>reject candidates quickly if they miss the triple test</w:t>
      </w:r>
    </w:p>
    <w:p>
      <w:pPr>
        <w:pStyle w:val="ListBullet"/>
      </w:pPr>
      <w:r>
        <w:t>use the scale-invariant branch as a constraint template</w:t>
      </w:r>
    </w:p>
    <w:p>
      <w:pPr>
        <w:pStyle w:val="ListBullet"/>
      </w:pPr>
      <w:r>
        <w:t>spend serious effort only on candidates that derive the transition structure instead of imposing 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FAST SOLUTION FUNNEL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Fast Solution Funnel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