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Fixed-Point Target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replaces vague "derive MOND somehow" language with a typed theorem target.</w:t>
      </w:r>
    </w:p>
    <w:p>
      <w:pPr>
        <w:jc w:val="both"/>
      </w:pPr>
      <w:r>
        <w:t>The question is not whether a template can imitate the low-acceleration bend. The question is whether the internal T^3 renormalization and bridge program can force the deep-IR scaling needed for that bend.</w:t>
      </w:r>
    </w:p>
    <w:p>
      <w:pPr>
        <w:pStyle w:val="Heading2"/>
      </w:pPr>
      <w:r>
        <w:t>Minimal target</w:t>
      </w:r>
    </w:p>
    <w:p>
      <w:pPr>
        <w:jc w:val="both"/>
      </w:pPr>
      <w:r>
        <w:t>Write the deep-IR action density as:</w:t>
      </w:r>
    </w:p>
    <w:p>
      <w:pPr>
        <w:jc w:val="both"/>
      </w:pPr>
      <w:r>
        <w:t>L_IR ~ |grad(phi)|^q</w:t>
      </w:r>
    </w:p>
    <w:p>
      <w:pPr>
        <w:jc w:val="both"/>
      </w:pPr>
      <w:r>
        <w:t>Then the equivalent deep-IR observables are:</w:t>
      </w:r>
    </w:p>
    <w:p>
      <w:pPr>
        <w:pStyle w:val="ListBullet"/>
      </w:pPr>
      <w:r>
        <w:t>mu(x) ~ x^(q-2)</w:t>
      </w:r>
    </w:p>
    <w:p>
      <w:pPr>
        <w:pStyle w:val="ListBullet"/>
      </w:pPr>
      <w:r>
        <w:t>g ~ g_N^(1/(q-1))</w:t>
      </w:r>
    </w:p>
    <w:p>
      <w:pPr>
        <w:jc w:val="both"/>
      </w:pPr>
      <w:r>
        <w:t>where x = |grad(phi)| / a_.</w:t>
      </w:r>
    </w:p>
    <w:p>
      <w:pPr>
        <w:pStyle w:val="Heading2"/>
      </w:pPr>
      <w:r>
        <w:t>Why q = 3 is the target</w:t>
      </w:r>
    </w:p>
    <w:p>
      <w:pPr>
        <w:jc w:val="both"/>
      </w:pPr>
      <w:r>
        <w:t>If the galaxy law is MOND-like in the deep regime, then:</w:t>
      </w:r>
    </w:p>
    <w:p>
      <w:pPr>
        <w:pStyle w:val="ListBullet"/>
      </w:pPr>
      <w:r>
        <w:t>low-acceleration RAR slope must be 0.5</w:t>
      </w:r>
    </w:p>
    <w:p>
      <w:pPr>
        <w:pStyle w:val="ListBullet"/>
      </w:pPr>
      <w:r>
        <w:t>low-acceleration MDAR slope must be -0.5</w:t>
      </w:r>
    </w:p>
    <w:p>
      <w:pPr>
        <w:pStyle w:val="ListBullet"/>
      </w:pPr>
      <w:r>
        <w:t>asymptotically flat rotation curves require zero residual radial exponent</w:t>
      </w:r>
    </w:p>
    <w:p>
      <w:pPr>
        <w:jc w:val="both"/>
      </w:pPr>
      <w:r>
        <w:t>Those three constraints are simultaneously satisfied only when:</w:t>
      </w:r>
    </w:p>
    <w:p>
      <w:pPr>
        <w:pStyle w:val="ListBullet"/>
      </w:pPr>
      <w:r>
        <w:t>q = 3</w:t>
      </w:r>
    </w:p>
    <w:p>
      <w:pPr>
        <w:pStyle w:val="ListBullet"/>
      </w:pPr>
      <w:r>
        <w:t>mu(x) ~ x</w:t>
      </w:r>
    </w:p>
    <w:p>
      <w:pPr>
        <w:pStyle w:val="ListBullet"/>
      </w:pPr>
      <w:r>
        <w:t>AQUAL free-energy density scales as y^(3/2) with y = |grad(phi)|^2 / a_^2</w:t>
      </w:r>
    </w:p>
    <w:p>
      <w:pPr>
        <w:jc w:val="both"/>
      </w:pPr>
      <w:r>
        <w:t>This is not yet a derivation from CSR. It is the correct target any derivation must hit.</w:t>
      </w:r>
    </w:p>
    <w:p>
      <w:pPr>
        <w:pStyle w:val="Heading2"/>
      </w:pPr>
      <w:r>
        <w:t>What this means operationally</w:t>
      </w:r>
    </w:p>
    <w:p>
      <w:pPr>
        <w:jc w:val="both"/>
      </w:pPr>
      <w:r>
        <w:t>The next theorem-level task is:</w:t>
      </w:r>
    </w:p>
    <w:p>
      <w:pPr>
        <w:pStyle w:val="ListNumber"/>
      </w:pPr>
      <w:r>
        <w:t>derive the deep-IR operator scaling from the actual T^3 program</w:t>
      </w:r>
    </w:p>
    <w:p>
      <w:pPr>
        <w:pStyle w:val="ListNumber"/>
      </w:pPr>
      <w:r>
        <w:t>show that it forces q = 3, or an exactly equivalent low-acceleration law</w:t>
      </w:r>
    </w:p>
    <w:p>
      <w:pPr>
        <w:pStyle w:val="ListNumber"/>
      </w:pPr>
      <w:r>
        <w:t>derive the transition scale a_</w:t>
      </w:r>
    </w:p>
    <w:p>
      <w:pPr>
        <w:jc w:val="both"/>
      </w:pPr>
      <w:r>
        <w:t>If the fixed-point program does not force q = 3 or an equivalent target, then the current CSR galaxy-law route is not a derivation.</w:t>
      </w:r>
    </w:p>
    <w:p>
      <w:pPr>
        <w:pStyle w:val="Heading2"/>
      </w:pPr>
      <w:r>
        <w:t>What this does not mean</w:t>
      </w:r>
    </w:p>
    <w:p>
      <w:pPr>
        <w:jc w:val="both"/>
      </w:pPr>
      <w:r>
        <w:t>It does not mean:</w:t>
      </w:r>
    </w:p>
    <w:p>
      <w:pPr>
        <w:pStyle w:val="ListBullet"/>
      </w:pPr>
      <w:r>
        <w:t>q = 3 has been derived already</w:t>
      </w:r>
    </w:p>
    <w:p>
      <w:pPr>
        <w:pStyle w:val="ListBullet"/>
      </w:pPr>
      <w:r>
        <w:t>the current template is validated</w:t>
      </w:r>
    </w:p>
    <w:p>
      <w:pPr>
        <w:pStyle w:val="ListBullet"/>
      </w:pPr>
      <w:r>
        <w:t>the bridge is already connected to galaxy dynamics</w:t>
      </w:r>
    </w:p>
    <w:p>
      <w:pPr>
        <w:jc w:val="both"/>
      </w:pPr>
      <w:r>
        <w:t>It means only this:</w:t>
      </w:r>
    </w:p>
    <w:p>
      <w:pPr>
        <w:jc w:val="both"/>
      </w:pPr>
      <w:r>
        <w:t>the current route needs a fixed-point theorem, not another fit family.</w:t>
      </w:r>
    </w:p>
    <w:p>
      <w:pPr>
        <w:pStyle w:val="Heading2"/>
      </w:pPr>
      <w:r>
        <w:t>Bottom line</w:t>
      </w:r>
    </w:p>
    <w:p>
      <w:pPr>
        <w:jc w:val="both"/>
      </w:pPr>
      <w:r>
        <w:t>The next legitimate CSR milestone is not better interpolation. It is a fixed-point derivation of the deep-IR target.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FIXED-POINT TARGET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Fixed-Point Target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