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Lambda Closure Family Scan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Result</w:t>
      </w:r>
    </w:p>
    <w:p>
      <w:pPr>
        <w:jc w:val="both"/>
      </w:pPr>
      <w:r>
        <w:t>The first non-arbitrary lambda(r) closure scan is complete.</w:t>
      </w:r>
    </w:p>
    <w:p>
      <w:pPr>
        <w:jc w:val="both"/>
      </w:pPr>
      <w:r>
        <w:t>It does not rescue CSR.</w:t>
      </w:r>
    </w:p>
    <w:p>
      <w:pPr>
        <w:jc w:val="both"/>
      </w:pPr>
      <w:r>
        <w:t>The supporting audit is in csr_lambda_closure_family_scan.json.</w:t>
      </w:r>
    </w:p>
    <w:p>
      <w:pPr>
        <w:pStyle w:val="Heading2"/>
      </w:pPr>
      <w:r>
        <w:t>Setup</w:t>
      </w:r>
    </w:p>
    <w:p>
      <w:pPr>
        <w:jc w:val="both"/>
      </w:pPr>
      <w:r>
        <w:t>I fixed the spatial map to the current canonical information-load proxy:</w:t>
      </w:r>
    </w:p>
    <w:p>
      <w:pPr>
        <w:jc w:val="both"/>
      </w:pPr>
      <w:r>
        <w:t>A(r) = ln rho_b^eff(r) - median[ln rho_b^eff]</w:t>
      </w:r>
    </w:p>
    <w:p>
      <w:pPr>
        <w:jc w:val="both"/>
      </w:pPr>
      <w:r>
        <w:t>and scanned five code-side closure families for the stationary Jeans route.</w:t>
      </w:r>
    </w:p>
    <w:p>
      <w:pPr>
        <w:pStyle w:val="Heading2"/>
      </w:pPr>
      <w:r>
        <w:t>Families Tested</w:t>
      </w:r>
    </w:p>
    <w:p>
      <w:pPr>
        <w:pStyle w:val="ListBullet"/>
      </w:pPr>
      <w:r>
        <w:t>constant_q: lambda(r) = lambda0</w:t>
      </w:r>
    </w:p>
    <w:p>
      <w:pPr>
        <w:pStyle w:val="ListBullet"/>
      </w:pPr>
      <w:r>
        <w:t>q_eq_aprime: J(r) proportional to |A'(r)|, so lambda(r) proportional to (A'(r))^2</w:t>
      </w:r>
    </w:p>
    <w:p>
      <w:pPr>
        <w:pStyle w:val="ListBullet"/>
      </w:pPr>
      <w:r>
        <w:t>q_eq_a: J(r) proportional to |A(r)|</w:t>
      </w:r>
    </w:p>
    <w:p>
      <w:pPr>
        <w:pStyle w:val="ListBullet"/>
      </w:pPr>
      <w:r>
        <w:t>q_eq_omega: J(r) proportional to Omega(r) = v_bar/r</w:t>
      </w:r>
    </w:p>
    <w:p>
      <w:pPr>
        <w:pStyle w:val="ListBullet"/>
      </w:pPr>
      <w:r>
        <w:t>q_eq_freefall: J(r) proportional to sqrt(4 pi G rho_b^eff)</w:t>
      </w:r>
    </w:p>
    <w:p>
      <w:pPr>
        <w:pStyle w:val="Heading2"/>
      </w:pPr>
      <w:r>
        <w:t>Best Family</w:t>
      </w:r>
    </w:p>
    <w:p>
      <w:pPr>
        <w:jc w:val="both"/>
      </w:pPr>
      <w:r>
        <w:t>The best of the tested set was q_eq_aprime.</w:t>
      </w:r>
    </w:p>
    <w:p>
      <w:pPr>
        <w:jc w:val="both"/>
      </w:pPr>
      <w:r>
        <w:t>Its benchmark was:</w:t>
      </w:r>
    </w:p>
    <w:p>
      <w:pPr>
        <w:pStyle w:val="ListBullet"/>
      </w:pPr>
      <w:r>
        <w:t>SPARC holdout R^2 = 0.5609 +/- 0.1114</w:t>
      </w:r>
    </w:p>
    <w:p>
      <w:pPr>
        <w:pStyle w:val="ListBullet"/>
      </w:pPr>
      <w:r>
        <w:t>full-sample SPARC R^2 = 0.5685</w:t>
      </w:r>
    </w:p>
    <w:p>
      <w:pPr>
        <w:pStyle w:val="ListBullet"/>
      </w:pPr>
      <w:r>
        <w:t>local external aggregate R^2 = 0.3235</w:t>
      </w:r>
    </w:p>
    <w:p>
      <w:pPr>
        <w:jc w:val="both"/>
      </w:pPr>
      <w:r>
        <w:t>That is still substantially below MOND and below the earlier sign-smoothed density-gradient candidate.</w:t>
      </w:r>
    </w:p>
    <w:p>
      <w:pPr>
        <w:pStyle w:val="Heading2"/>
      </w:pPr>
      <w:r>
        <w:t>Important Failures</w:t>
      </w:r>
    </w:p>
    <w:p>
      <w:pPr>
        <w:jc w:val="both"/>
      </w:pPr>
      <w:r>
        <w:t>Two scanned families fail catastrophically:</w:t>
      </w:r>
    </w:p>
    <w:p>
      <w:pPr>
        <w:pStyle w:val="ListBullet"/>
      </w:pPr>
      <w:r>
        <w:t>q_eq_a</w:t>
      </w:r>
    </w:p>
    <w:p>
      <w:pPr>
        <w:pStyle w:val="ListBullet"/>
      </w:pPr>
      <w:r>
        <w:t>q_eq_omega</w:t>
      </w:r>
    </w:p>
    <w:p>
      <w:pPr>
        <w:jc w:val="both"/>
      </w:pPr>
      <w:r>
        <w:t>Those families produce numerically unstable or physically poor kernels in this closure and should not be treated as promising directions in their current form.</w:t>
      </w:r>
    </w:p>
    <w:p>
      <w:pPr>
        <w:pStyle w:val="Heading2"/>
      </w:pPr>
      <w:r>
        <w:t>What This Means</w:t>
      </w:r>
    </w:p>
    <w:p>
      <w:pPr>
        <w:jc w:val="both"/>
      </w:pPr>
      <w:r>
        <w:t>This is a useful negative result.</w:t>
      </w:r>
    </w:p>
    <w:p>
      <w:pPr>
        <w:jc w:val="both"/>
      </w:pPr>
      <w:r>
        <w:t>It means the next missing ingredient is not simply a better spatial dependence in lambda(r) while keeping the same A(r) map and the same stationary closure family.</w:t>
      </w:r>
    </w:p>
    <w:p>
      <w:pPr>
        <w:jc w:val="both"/>
      </w:pPr>
      <w:r>
        <w:t>The closure problem is deeper than that.</w:t>
      </w:r>
    </w:p>
    <w:p>
      <w:pPr>
        <w:pStyle w:val="Heading2"/>
      </w:pPr>
      <w:r>
        <w:t>Bottom Line</w:t>
      </w:r>
    </w:p>
    <w:p>
      <w:pPr>
        <w:jc w:val="both"/>
      </w:pPr>
      <w:r>
        <w:t>The lambda(r) scan narrows CSR again:</w:t>
      </w:r>
    </w:p>
    <w:p>
      <w:pPr>
        <w:pStyle w:val="ListBullet"/>
      </w:pPr>
      <w:r>
        <w:t>closure-family variation alone does not close the MOND gap</w:t>
      </w:r>
    </w:p>
    <w:p>
      <w:pPr>
        <w:pStyle w:val="ListBullet"/>
      </w:pPr>
      <w:r>
        <w:t>the next bottleneck is either the spatial map A(r) or the macroscopic closure class itself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LAMBDA CLOSURE FAMILY SCAN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Lambda Closure Family Scan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