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Local External Decomposition Re-Audit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stricter local re-audit confirms that the workspace still does not contain a 20+ alias-clean non-SPARC decomposition-grade sample.</w:t>
      </w:r>
    </w:p>
    <w:p>
      <w:pPr>
        <w:jc w:val="both"/>
      </w:pPr>
      <w:r>
        <w:t>The supporting audit is in csr_local_external_decomposition_reaudit.json.</w:t>
      </w:r>
    </w:p>
    <w:p>
      <w:pPr>
        <w:pStyle w:val="Heading2"/>
      </w:pPr>
      <w:r>
        <w:t>What Was Rechecked</w:t>
      </w:r>
    </w:p>
    <w:p>
      <w:pPr>
        <w:jc w:val="both"/>
      </w:pPr>
      <w:r>
        <w:t>I re-audited all locally available non-SPARC external galaxy files that might carry baryonic decomposition terms:</w:t>
      </w:r>
    </w:p>
    <w:p>
      <w:pPr>
        <w:pStyle w:val="ListBullet"/>
      </w:pPr>
      <w:r>
        <w:t>galaxy_massmodels.dat</w:t>
      </w:r>
    </w:p>
    <w:p>
      <w:pPr>
        <w:pStyle w:val="ListBullet"/>
      </w:pPr>
      <w:r>
        <w:t>RCsmooth.0701.dat</w:t>
      </w:r>
    </w:p>
    <w:p>
      <w:pPr>
        <w:pStyle w:val="ListBullet"/>
      </w:pPr>
      <w:r>
        <w:t>KuzioDpak0608.dat</w:t>
      </w:r>
    </w:p>
    <w:p>
      <w:pPr>
        <w:jc w:val="both"/>
      </w:pPr>
      <w:r>
        <w:t>using one shared alias normalizer and one shared SPARC-overlap filter.</w:t>
      </w:r>
    </w:p>
    <w:p>
      <w:pPr>
        <w:pStyle w:val="Heading2"/>
      </w:pPr>
      <w:r>
        <w:t>Counts</w:t>
      </w:r>
    </w:p>
    <w:p>
      <w:pPr>
        <w:pStyle w:val="Heading3"/>
      </w:pPr>
      <w:r>
        <w:t>Source-level counts</w:t>
      </w:r>
    </w:p>
    <w:p>
      <w:pPr>
        <w:pStyle w:val="ListBullet"/>
      </w:pPr>
      <w:r>
        <w:t>galaxy_massmodels.dat: 3 non-SPARC aliases</w:t>
      </w:r>
    </w:p>
    <w:p>
      <w:pPr>
        <w:pStyle w:val="ListBullet"/>
      </w:pPr>
      <w:r>
        <w:t>RCsmooth.0701.dat: 17 non-SPARC aliases</w:t>
      </w:r>
    </w:p>
    <w:p>
      <w:pPr>
        <w:pStyle w:val="ListBullet"/>
      </w:pPr>
      <w:r>
        <w:t>KuzioDpak0608.dat: 5 non-SPARC aliases, but observed curves only</w:t>
      </w:r>
    </w:p>
    <w:p>
      <w:pPr>
        <w:pStyle w:val="Heading3"/>
      </w:pPr>
      <w:r>
        <w:t>Best alias-resolved clean set</w:t>
      </w:r>
    </w:p>
    <w:p>
      <w:pPr>
        <w:pStyle w:val="ListBullet"/>
      </w:pPr>
      <w:r>
        <w:t>total clean aliases: 20</w:t>
      </w:r>
    </w:p>
    <w:p>
      <w:pPr>
        <w:pStyle w:val="ListBullet"/>
      </w:pPr>
      <w:r>
        <w:t>decomposition-grade aliases: 3</w:t>
      </w:r>
    </w:p>
    <w:p>
      <w:pPr>
        <w:pStyle w:val="ListBullet"/>
      </w:pPr>
      <w:r>
        <w:t>rotation-only aliases: 17</w:t>
      </w:r>
    </w:p>
    <w:p>
      <w:pPr>
        <w:pStyle w:val="ListBullet"/>
      </w:pPr>
      <w:r>
        <w:t>local 20+ decomposition-grade threshold met: False</w:t>
      </w:r>
    </w:p>
    <w:p>
      <w:pPr>
        <w:pStyle w:val="Heading2"/>
      </w:pPr>
      <w:r>
        <w:t>The Three Usable Local Decomposition-Grade Galaxies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All three come from galaxy_massmodels.dat and all three retain nonzero published gas and stellar terms after alias cleaning.</w:t>
      </w:r>
    </w:p>
    <w:p>
      <w:pPr>
        <w:pStyle w:val="Heading2"/>
      </w:pPr>
      <w:r>
        <w:t>Why RCSmooth Did Not Rescue The Count</w:t>
      </w:r>
    </w:p>
    <w:p>
      <w:pPr>
        <w:jc w:val="both"/>
      </w:pPr>
      <w:r>
        <w:t>This needed checking carefully.</w:t>
      </w:r>
    </w:p>
    <w:p>
      <w:pPr>
        <w:jc w:val="both"/>
      </w:pPr>
      <w:r>
        <w:t>The clean non-SPARC aliases left in RCsmooth.0701.dat are mostly:</w:t>
      </w:r>
    </w:p>
    <w:p>
      <w:pPr>
        <w:pStyle w:val="ListBullet"/>
      </w:pPr>
      <w:r>
        <w:t>eso120021g1</w:t>
      </w:r>
    </w:p>
    <w:p>
      <w:pPr>
        <w:pStyle w:val="ListBullet"/>
      </w:pPr>
      <w:r>
        <w:t>eso14004g0</w:t>
      </w:r>
    </w:p>
    <w:p>
      <w:pPr>
        <w:pStyle w:val="ListBullet"/>
      </w:pPr>
      <w:r>
        <w:t>eso187051g0</w:t>
      </w:r>
    </w:p>
    <w:p>
      <w:pPr>
        <w:pStyle w:val="ListBullet"/>
      </w:pPr>
      <w:r>
        <w:t>eso206014g0</w:t>
      </w:r>
    </w:p>
    <w:p>
      <w:pPr>
        <w:pStyle w:val="ListBullet"/>
      </w:pPr>
      <w:r>
        <w:t>eso302012g0</w:t>
      </w:r>
    </w:p>
    <w:p>
      <w:pPr>
        <w:pStyle w:val="ListBullet"/>
      </w:pPr>
      <w:r>
        <w:t>eso305009g0</w:t>
      </w:r>
    </w:p>
    <w:p>
      <w:pPr>
        <w:pStyle w:val="ListBullet"/>
      </w:pPr>
      <w:r>
        <w:t>eso425018g0</w:t>
      </w:r>
    </w:p>
    <w:p>
      <w:pPr>
        <w:pStyle w:val="ListBullet"/>
      </w:pPr>
      <w:r>
        <w:t>eso488004g9</w:t>
      </w:r>
    </w:p>
    <w:p>
      <w:pPr>
        <w:pStyle w:val="ListBullet"/>
      </w:pPr>
      <w:r>
        <w:t>eso84041g1</w:t>
      </w:r>
    </w:p>
    <w:p>
      <w:pPr>
        <w:pStyle w:val="ListBullet"/>
      </w:pPr>
      <w:r>
        <w:t>f730v1</w:t>
      </w:r>
    </w:p>
    <w:p>
      <w:pPr>
        <w:pStyle w:val="ListBullet"/>
      </w:pPr>
      <w:r>
        <w:t>u4115</w:t>
      </w:r>
    </w:p>
    <w:p>
      <w:pPr>
        <w:pStyle w:val="ListBullet"/>
      </w:pPr>
      <w:r>
        <w:t>u11454</w:t>
      </w:r>
    </w:p>
    <w:p>
      <w:pPr>
        <w:pStyle w:val="ListBullet"/>
      </w:pPr>
      <w:r>
        <w:t>u11583</w:t>
      </w:r>
    </w:p>
    <w:p>
      <w:pPr>
        <w:pStyle w:val="ListBullet"/>
      </w:pPr>
      <w:r>
        <w:t>u11616</w:t>
      </w:r>
    </w:p>
    <w:p>
      <w:pPr>
        <w:pStyle w:val="ListBullet"/>
      </w:pPr>
      <w:r>
        <w:t>u11648</w:t>
      </w:r>
    </w:p>
    <w:p>
      <w:pPr>
        <w:pStyle w:val="ListBullet"/>
      </w:pPr>
      <w:r>
        <w:t>u11748</w:t>
      </w:r>
    </w:p>
    <w:p>
      <w:pPr>
        <w:pStyle w:val="ListBullet"/>
      </w:pPr>
      <w:r>
        <w:t>u11819</w:t>
      </w:r>
    </w:p>
    <w:p>
      <w:pPr>
        <w:jc w:val="both"/>
      </w:pPr>
      <w:r>
        <w:t>For those aliases, the local file carries the observed rotation curve but the published baryonic component columns are zero in the workspace copy. So they are clean rotation-curve rows, not decomposition-grade rows.</w:t>
      </w:r>
    </w:p>
    <w:p>
      <w:pPr>
        <w:pStyle w:val="Heading2"/>
      </w:pPr>
      <w:r>
        <w:t>Kuzio Cross-Check</w:t>
      </w:r>
    </w:p>
    <w:p>
      <w:pPr>
        <w:jc w:val="both"/>
      </w:pPr>
      <w:r>
        <w:t>The non-SPARC DensePak file contributes observed curves for:</w:t>
      </w:r>
    </w:p>
    <w:p>
      <w:pPr>
        <w:pStyle w:val="ListBullet"/>
      </w:pPr>
      <w:r>
        <w:t>n4395</w:t>
      </w:r>
    </w:p>
    <w:p>
      <w:pPr>
        <w:pStyle w:val="ListBullet"/>
      </w:pPr>
      <w:r>
        <w:t>n7137</w:t>
      </w:r>
    </w:p>
    <w:p>
      <w:pPr>
        <w:pStyle w:val="ListBullet"/>
      </w:pPr>
      <w:r>
        <w:t>n959</w:t>
      </w:r>
    </w:p>
    <w:p>
      <w:pPr>
        <w:pStyle w:val="ListBullet"/>
      </w:pPr>
      <w:r>
        <w:t>u1551</w:t>
      </w:r>
    </w:p>
    <w:p>
      <w:pPr>
        <w:pStyle w:val="ListBullet"/>
      </w:pPr>
      <w:r>
        <w:t>u477</w:t>
      </w:r>
    </w:p>
    <w:p>
      <w:pPr>
        <w:jc w:val="both"/>
      </w:pPr>
      <w:r>
        <w:t>None of those currently have matching local baryonic decomposition rows in the cleaned workspace set.</w:t>
      </w:r>
    </w:p>
    <w:p>
      <w:pPr>
        <w:pStyle w:val="Heading2"/>
      </w:pPr>
      <w:r>
        <w:t>Bottom Line</w:t>
      </w:r>
    </w:p>
    <w:p>
      <w:pPr>
        <w:jc w:val="both"/>
      </w:pPr>
      <w:r>
        <w:t>The earlier suspicion of a parser bug did not survive the line-by-line re-audit.</w:t>
      </w:r>
    </w:p>
    <w:p>
      <w:pPr>
        <w:jc w:val="both"/>
      </w:pPr>
      <w:r>
        <w:t>The harsh result stands:</w:t>
      </w:r>
    </w:p>
    <w:p>
      <w:pPr>
        <w:pStyle w:val="ListBullet"/>
      </w:pPr>
      <w:r>
        <w:t>clean local non-SPARC set: 20 aliases</w:t>
      </w:r>
    </w:p>
    <w:p>
      <w:pPr>
        <w:pStyle w:val="ListBullet"/>
      </w:pPr>
      <w:r>
        <w:t>clean local decomposition-grade set: 3 aliases</w:t>
      </w:r>
    </w:p>
    <w:p>
      <w:pPr>
        <w:jc w:val="both"/>
      </w:pPr>
      <w:r>
        <w:t>So the falsifiability-clause external benchmark is still not fully runnable from local files alone.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LOCAL EXTERNAL DECOMPOSITION RE-AUDIT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Local External Decomposition Re-Audit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