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Nonlocal Stress Kernel Scan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scan tests the first explicitly nonlocal stationary closure class for CSR.</w:t>
      </w:r>
    </w:p>
    <w:p>
      <w:pPr>
        <w:jc w:val="both"/>
      </w:pPr>
      <w:r>
        <w:t>The goal was to move beyond local scalar closures and ask whether a finite radial memory length can rescue the stress-route galaxy law.</w:t>
      </w:r>
    </w:p>
    <w:p>
      <w:pPr>
        <w:pStyle w:val="Heading2"/>
      </w:pPr>
      <w:r>
        <w:t>Law Tested</w:t>
      </w:r>
    </w:p>
    <w:p>
      <w:pPr>
        <w:jc w:val="both"/>
      </w:pPr>
      <w:r>
        <w:t>The family tested was</w:t>
      </w:r>
    </w:p>
    <w:p>
      <w:pPr>
        <w:jc w:val="both"/>
      </w:pPr>
      <w:r>
        <w:t>sigma_r^2(r) = C ∫ dr' exp(-|r-r'| / ell) (A'(r'))^2 / (2 ell)</w:t>
      </w:r>
    </w:p>
    <w:p>
      <w:pPr>
        <w:jc w:val="both"/>
      </w:pPr>
      <w:r>
        <w:t>with</w:t>
      </w:r>
    </w:p>
    <w:p>
      <w:pPr>
        <w:jc w:val="both"/>
      </w:pPr>
      <w:r>
        <w:t>v_pred^2 = v_bar^2 - r d sigma_r^2 / dr - r sigma_r^2 d ln rho_b^eff / dr - 2 beta sigma_r^2</w:t>
      </w:r>
    </w:p>
    <w:p>
      <w:pPr>
        <w:jc w:val="both"/>
      </w:pPr>
      <w:r>
        <w:t>Source maps tested:</w:t>
      </w:r>
    </w:p>
    <w:p>
      <w:pPr>
        <w:pStyle w:val="ListBullet"/>
      </w:pPr>
      <w:r>
        <w:t>log_rho</w:t>
      </w:r>
    </w:p>
    <w:p>
      <w:pPr>
        <w:pStyle w:val="ListBullet"/>
      </w:pPr>
      <w:r>
        <w:t>log_surface_density</w:t>
      </w:r>
    </w:p>
    <w:p>
      <w:pPr>
        <w:pStyle w:val="ListBullet"/>
      </w:pPr>
      <w:r>
        <w:t>log_acceleration</w:t>
      </w:r>
    </w:p>
    <w:p>
      <w:pPr>
        <w:jc w:val="both"/>
      </w:pPr>
      <w:r>
        <w:t>Grid:</w:t>
      </w:r>
    </w:p>
    <w:p>
      <w:pPr>
        <w:pStyle w:val="ListBullet"/>
      </w:pPr>
      <w:r>
        <w:t>ell = 0.1, 0.25, 0.5, 1, 2, 4, 8, 16 kpc</w:t>
      </w:r>
    </w:p>
    <w:p>
      <w:pPr>
        <w:pStyle w:val="ListBullet"/>
      </w:pPr>
      <w:r>
        <w:t>beta = -2, -1.5, -1, -0.5, 0, 0.5</w:t>
      </w:r>
    </w:p>
    <w:p>
      <w:pPr>
        <w:pStyle w:val="Heading2"/>
      </w:pPr>
      <w:r>
        <w:t>Main Result</w:t>
      </w:r>
    </w:p>
    <w:p>
      <w:pPr>
        <w:jc w:val="both"/>
      </w:pPr>
      <w:r>
        <w:t>Best family member:</w:t>
      </w:r>
    </w:p>
    <w:p>
      <w:pPr>
        <w:pStyle w:val="ListBullet"/>
      </w:pPr>
      <w:r>
        <w:t>source map: log_rho</w:t>
      </w:r>
    </w:p>
    <w:p>
      <w:pPr>
        <w:pStyle w:val="ListBullet"/>
      </w:pPr>
      <w:r>
        <w:t>C = 207.8269</w:t>
      </w:r>
    </w:p>
    <w:p>
      <w:pPr>
        <w:pStyle w:val="ListBullet"/>
      </w:pPr>
      <w:r>
        <w:t>ell = 16.0 kpc</w:t>
      </w:r>
    </w:p>
    <w:p>
      <w:pPr>
        <w:pStyle w:val="ListBullet"/>
      </w:pPr>
      <w:r>
        <w:t>beta = -2.0</w:t>
      </w:r>
    </w:p>
    <w:p>
      <w:pPr>
        <w:jc w:val="both"/>
      </w:pPr>
      <w:r>
        <w:t>Performance:</w:t>
      </w:r>
    </w:p>
    <w:p>
      <w:pPr>
        <w:pStyle w:val="ListBullet"/>
      </w:pPr>
      <w:r>
        <w:t>full-sample SPARC R^2 = 0.5749</w:t>
      </w:r>
    </w:p>
    <w:p>
      <w:pPr>
        <w:pStyle w:val="ListBullet"/>
      </w:pPr>
      <w:r>
        <w:t>SPARC holdout mean R^2 = 0.5537 +/- 0.1100</w:t>
      </w:r>
    </w:p>
    <w:p>
      <w:pPr>
        <w:pStyle w:val="ListBullet"/>
      </w:pPr>
      <w:r>
        <w:t>local decomposition-grade external aggregate R^2 = 0.4391</w:t>
      </w:r>
    </w:p>
    <w:p>
      <w:pPr>
        <w:pStyle w:val="ListBullet"/>
      </w:pPr>
      <w:r>
        <w:t>local external median per-galaxy R^2 = -7.3621</w:t>
      </w:r>
    </w:p>
    <w:p>
      <w:pPr>
        <w:pStyle w:val="ListBullet"/>
      </w:pPr>
      <w:r>
        <w:t>MOND holdout mean R^2 = 0.9299</w:t>
      </w:r>
    </w:p>
    <w:p>
      <w:pPr>
        <w:pStyle w:val="ListBullet"/>
      </w:pPr>
      <w:r>
        <w:t>baryons-only holdout mean R^2 = 0.5469</w:t>
      </w:r>
    </w:p>
    <w:p>
      <w:pPr>
        <w:pStyle w:val="Heading2"/>
      </w:pPr>
      <w:r>
        <w:t>Interpretation</w:t>
      </w:r>
    </w:p>
    <w:p>
      <w:pPr>
        <w:jc w:val="both"/>
      </w:pPr>
      <w:r>
        <w:t>This is a real negative narrowing result.</w:t>
      </w:r>
    </w:p>
    <w:p>
      <w:pPr>
        <w:jc w:val="both"/>
      </w:pPr>
      <w:r>
        <w:t>The first nonlocal scalar closure only marginally improves over baryons-only on SPARC and remains weak externally. The fit also runs to the edge of the scanned parameter box:</w:t>
      </w:r>
    </w:p>
    <w:p>
      <w:pPr>
        <w:pStyle w:val="ListBullet"/>
      </w:pPr>
      <w:r>
        <w:t>maximum memory scale ell = 16 kpc</w:t>
      </w:r>
    </w:p>
    <w:p>
      <w:pPr>
        <w:pStyle w:val="ListBullet"/>
      </w:pPr>
      <w:r>
        <w:t>extreme anisotropy boundary beta = -2</w:t>
      </w:r>
    </w:p>
    <w:p>
      <w:pPr>
        <w:jc w:val="both"/>
      </w:pPr>
      <w:r>
        <w:t>That is not the signature of a stable derived law. It is the signature of a family trying to imitate missing structure.</w:t>
      </w:r>
    </w:p>
    <w:p>
      <w:pPr>
        <w:pStyle w:val="Heading2"/>
      </w:pPr>
      <w:r>
        <w:t>What This Means</w:t>
      </w:r>
    </w:p>
    <w:p>
      <w:pPr>
        <w:jc w:val="both"/>
      </w:pPr>
      <w:r>
        <w:t>The remaining bottleneck is probably not a better scalar field sigma_r^2(r) with a longer kernel.</w:t>
      </w:r>
    </w:p>
    <w:p>
      <w:pPr>
        <w:jc w:val="both"/>
      </w:pPr>
      <w:r>
        <w:t>The next viable closure class is more likely to be:</w:t>
      </w:r>
    </w:p>
    <w:p>
      <w:pPr>
        <w:pStyle w:val="ListBullet"/>
      </w:pPr>
      <w:r>
        <w:t>tensorial rather than scalar</w:t>
      </w:r>
    </w:p>
    <w:p>
      <w:pPr>
        <w:pStyle w:val="ListBullet"/>
      </w:pPr>
      <w:r>
        <w:t>disk-geometric rather than sphericalized</w:t>
      </w:r>
    </w:p>
    <w:p>
      <w:pPr>
        <w:pStyle w:val="ListBullet"/>
      </w:pPr>
      <w:r>
        <w:t>or explicitly nonlocal in a metric/stress sense instead of a smoothed local source map</w:t>
      </w:r>
    </w:p>
    <w:p>
      <w:pPr>
        <w:pStyle w:val="Heading2"/>
      </w:pPr>
      <w:r>
        <w:t>Output</w:t>
      </w:r>
    </w:p>
    <w:p>
      <w:pPr>
        <w:jc w:val="both"/>
      </w:pPr>
      <w:r>
        <w:t>Primary audit file:</w:t>
      </w:r>
    </w:p>
    <w:p>
      <w:pPr>
        <w:pStyle w:val="ListBullet"/>
      </w:pPr>
      <w:r>
        <w:t>output/audit/csr_nonlocal_stress_kernel_scan.json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NONLOCAL STRESS KERNEL SCAN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Nonlocal Stress Kernel Scan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