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Open BF Hodge Continuum Direction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Status</w:t>
      </w:r>
    </w:p>
    <w:p>
      <w:pPr>
        <w:jc w:val="both"/>
      </w:pPr>
      <w:r>
        <w:t>The best surviving continuum direction is narrower than the strongest speculative CSR documents claimed.</w:t>
      </w:r>
    </w:p>
    <w:p>
      <w:pPr>
        <w:jc w:val="both"/>
      </w:pPr>
      <w:r>
        <w:t>It is not:</w:t>
      </w:r>
    </w:p>
    <w:p>
      <w:pPr>
        <w:pStyle w:val="ListBullet"/>
      </w:pPr>
      <w:r>
        <w:t>direct Z2 BF equals Plebanski gravity</w:t>
      </w:r>
    </w:p>
    <w:p>
      <w:pPr>
        <w:pStyle w:val="ListBullet"/>
      </w:pPr>
      <w:r>
        <w:t>measurement backaction already equals simplicity constraints</w:t>
      </w:r>
    </w:p>
    <w:p>
      <w:pPr>
        <w:pStyle w:val="ListBullet"/>
      </w:pPr>
      <w:r>
        <w:t>Immirzi already fixes alpha</w:t>
      </w:r>
    </w:p>
    <w:p>
      <w:pPr>
        <w:pStyle w:val="ListBullet"/>
      </w:pPr>
      <w:r>
        <w:t>S^1 x T^3 with period 1/kappa already gives the canonical partition function</w:t>
      </w:r>
    </w:p>
    <w:p>
      <w:pPr>
        <w:pStyle w:val="Heading2"/>
      </w:pPr>
      <w:r>
        <w:t>Best Surviving Direction</w:t>
      </w:r>
    </w:p>
    <w:p>
      <w:pPr>
        <w:jc w:val="both"/>
      </w:pPr>
      <w:r>
        <w:t>The best surviving route is:</w:t>
      </w:r>
    </w:p>
    <w:p>
      <w:pPr>
        <w:pStyle w:val="ListBullet"/>
      </w:pPr>
      <w:r>
        <w:t>an open monitored abelian BF/Hodge-type continuum completion of the T^3 CSS backbone</w:t>
      </w:r>
    </w:p>
    <w:p>
      <w:pPr>
        <w:pStyle w:val="ListBullet"/>
      </w:pPr>
      <w:r>
        <w:t>a quotient/Green response operator on the physical sector space</w:t>
      </w:r>
    </w:p>
    <w:p>
      <w:pPr>
        <w:pStyle w:val="ListBullet"/>
      </w:pPr>
      <w:r>
        <w:t>a canonical measure induced by monitored dynamics rather than a guessed thermal shortcut</w:t>
      </w:r>
    </w:p>
    <w:p>
      <w:pPr>
        <w:jc w:val="both"/>
      </w:pPr>
      <w:r>
        <w:t>This direction is consistent with what has actually survived:</w:t>
      </w:r>
    </w:p>
    <w:p>
      <w:pPr>
        <w:pStyle w:val="ListBullet"/>
      </w:pPr>
      <w:r>
        <w:t>the bridge is an open-system result</w:t>
      </w:r>
    </w:p>
    <w:p>
      <w:pPr>
        <w:pStyle w:val="ListBullet"/>
      </w:pPr>
      <w:r>
        <w:t>the topological backbone remains useful</w:t>
      </w:r>
    </w:p>
    <w:p>
      <w:pPr>
        <w:pStyle w:val="ListBullet"/>
      </w:pPr>
      <w:r>
        <w:t>purely local closures fail</w:t>
      </w:r>
    </w:p>
    <w:p>
      <w:pPr>
        <w:pStyle w:val="ListBullet"/>
      </w:pPr>
      <w:r>
        <w:t>the first quotient/Green surrogate helps materially</w:t>
      </w:r>
    </w:p>
    <w:p>
      <w:pPr>
        <w:pStyle w:val="Heading2"/>
      </w:pPr>
      <w:r>
        <w:t>What The Parallel Checks Say</w:t>
      </w:r>
    </w:p>
    <w:p>
      <w:pPr>
        <w:pStyle w:val="Heading3"/>
      </w:pPr>
      <w:r>
        <w:t>Weighted Hodge surrogate</w:t>
      </w:r>
    </w:p>
    <w:p>
      <w:pPr>
        <w:jc w:val="both"/>
      </w:pPr>
      <w:r>
        <w:t>This is the first operator-level conservative surrogate to improve materially over the earlier closure families.</w:t>
      </w:r>
    </w:p>
    <w:p>
      <w:pPr>
        <w:jc w:val="both"/>
      </w:pPr>
      <w:r>
        <w:t>It does not finish the derivation. It does show that the operator move is directionally correct.</w:t>
      </w:r>
    </w:p>
    <w:p>
      <w:pPr>
        <w:pStyle w:val="Heading3"/>
      </w:pPr>
      <w:r>
        <w:t>Threshold weight scan</w:t>
      </w:r>
    </w:p>
    <w:p>
      <w:pPr>
        <w:jc w:val="both"/>
      </w:pPr>
      <w:r>
        <w:t>Threshold alone does not fix the alpha weights uniquely.</w:t>
      </w:r>
    </w:p>
    <w:p>
      <w:pPr>
        <w:jc w:val="both"/>
      </w:pPr>
      <w:r>
        <w:t>So the alpha route still needs a canonical operator/measure story.</w:t>
      </w:r>
    </w:p>
    <w:p>
      <w:pPr>
        <w:pStyle w:val="Heading3"/>
      </w:pPr>
      <w:r>
        <w:t>IBM threshold-kink check</w:t>
      </w:r>
    </w:p>
    <w:p>
      <w:pPr>
        <w:jc w:val="both"/>
      </w:pPr>
      <w:r>
        <w:t>The current hardware data do not support a threshold-kink interpretation.</w:t>
      </w:r>
    </w:p>
    <w:p>
      <w:pPr>
        <w:jc w:val="both"/>
      </w:pPr>
      <w:r>
        <w:t>So the threshold story is not already sitting in the existing IBM curves.</w:t>
      </w:r>
    </w:p>
    <w:p>
      <w:pPr>
        <w:pStyle w:val="Heading2"/>
      </w:pPr>
      <w:r>
        <w:t>What This Implies</w:t>
      </w:r>
    </w:p>
    <w:p>
      <w:pPr>
        <w:jc w:val="both"/>
      </w:pPr>
      <w:r>
        <w:t>The live route is now narrower than before:</w:t>
      </w:r>
    </w:p>
    <w:p>
      <w:pPr>
        <w:pStyle w:val="ListBullet"/>
      </w:pPr>
      <w:r>
        <w:t>keep the open-system bridge</w:t>
      </w:r>
    </w:p>
    <w:p>
      <w:pPr>
        <w:pStyle w:val="ListBullet"/>
      </w:pPr>
      <w:r>
        <w:t>keep the topological quotient</w:t>
      </w:r>
    </w:p>
    <w:p>
      <w:pPr>
        <w:pStyle w:val="ListBullet"/>
      </w:pPr>
      <w:r>
        <w:t>keep the operator-level response idea</w:t>
      </w:r>
    </w:p>
    <w:p>
      <w:pPr>
        <w:pStyle w:val="ListBullet"/>
      </w:pPr>
      <w:r>
        <w:t>stop treating threshold or gravity shortcuts as already established</w:t>
      </w:r>
    </w:p>
    <w:p>
      <w:pPr>
        <w:jc w:val="both"/>
      </w:pPr>
      <w:r>
        <w:t>The next real derivation target is a fuller open quotient/Green response on the physical sector space, not another local closure and not a premature jump to gravity.</w:t>
      </w:r>
    </w:p>
    <w:p>
      <w:pPr>
        <w:pStyle w:val="Heading2"/>
      </w:pPr>
      <w:r>
        <w:t>Bottom Line</w:t>
      </w:r>
    </w:p>
    <w:p>
      <w:pPr>
        <w:jc w:val="both"/>
      </w:pPr>
      <w:r>
        <w:t>The best current continuum claim is modest and strong enough to work on:</w:t>
      </w:r>
    </w:p>
    <w:p>
      <w:pPr>
        <w:jc w:val="both"/>
      </w:pPr>
      <w:r>
        <w:t>CSR may admit an open monitored abelian BF/Hodge-type continuum completion whose response operator and induced measure are the missing objects behind both the galaxy side and the constants side.</w:t>
      </w:r>
    </w:p>
    <w:p>
      <w:pPr>
        <w:jc w:val="both"/>
      </w:pPr>
      <w:r>
        <w:t>That is still a live research route. The stronger gravity claims are not yet earned.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OPEN BF HODGE CONTINUUM DIRECTION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Open BF Hodge Continuum Direction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