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Pattern Analysis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records the structured patterns across the CSR scans.</w:t>
      </w:r>
    </w:p>
    <w:p>
      <w:pPr>
        <w:jc w:val="both"/>
      </w:pPr>
      <w:r>
        <w:t>The goal is not to list failures one by one. The goal is to identify what the failures have in common and what the newest operator and measure branches changed.</w:t>
      </w:r>
    </w:p>
    <w:p>
      <w:pPr>
        <w:jc w:val="both"/>
      </w:pPr>
      <w:r>
        <w:t>The machine-readable summary is in output/audit/csr_pattern_analysis.json.</w:t>
      </w:r>
    </w:p>
    <w:p>
      <w:pPr>
        <w:pStyle w:val="Heading2"/>
      </w:pPr>
      <w:r>
        <w:t>Pattern 1: Micro Survives, Macro Still Fails</w:t>
      </w:r>
    </w:p>
    <w:p>
      <w:pPr>
        <w:jc w:val="both"/>
      </w:pPr>
      <w:r>
        <w:t>The microscopic bridge side keeps surviving.</w:t>
      </w:r>
    </w:p>
    <w:p>
      <w:pPr>
        <w:pStyle w:val="ListBullet"/>
      </w:pPr>
      <w:r>
        <w:t>bridge rate is stable</w:t>
      </w:r>
    </w:p>
    <w:p>
      <w:pPr>
        <w:pStyle w:val="ListBullet"/>
      </w:pPr>
      <w:r>
        <w:t>bridge semigroup error is effectively zero in the audit split test</w:t>
      </w:r>
    </w:p>
    <w:p>
      <w:pPr>
        <w:pStyle w:val="ListBullet"/>
      </w:pPr>
      <w:r>
        <w:t>the local channel remains CP, trace preserving, and geometry-controlled</w:t>
      </w:r>
    </w:p>
    <w:p>
      <w:pPr>
        <w:jc w:val="both"/>
      </w:pPr>
      <w:r>
        <w:t>What keeps failing is not the local bridge derivation.</w:t>
      </w:r>
    </w:p>
    <w:p>
      <w:pPr>
        <w:jc w:val="both"/>
      </w:pPr>
      <w:r>
        <w:t>What keeps failing is the macroscopic orbital response and the induced sector measure.</w:t>
      </w:r>
    </w:p>
    <w:p>
      <w:pPr>
        <w:pStyle w:val="Heading2"/>
      </w:pPr>
      <w:r>
        <w:t>Pattern 2: The Operator Move Is Real</w:t>
      </w:r>
    </w:p>
    <w:p>
      <w:pPr>
        <w:jc w:val="both"/>
      </w:pPr>
      <w:r>
        <w:t>Moving from local closures to quotient or Green operators materially helped.</w:t>
      </w:r>
    </w:p>
    <w:p>
      <w:pPr>
        <w:jc w:val="both"/>
      </w:pPr>
      <w:r>
        <w:t>On SPARC holdout:</w:t>
      </w:r>
    </w:p>
    <w:p>
      <w:pPr>
        <w:pStyle w:val="ListBullet"/>
      </w:pPr>
      <w:r>
        <w:t>local Jeans closure: 0.5800</w:t>
      </w:r>
    </w:p>
    <w:p>
      <w:pPr>
        <w:pStyle w:val="ListBullet"/>
      </w:pPr>
      <w:r>
        <w:t>scalar weighted Hodge: 0.7231</w:t>
      </w:r>
    </w:p>
    <w:p>
      <w:pPr>
        <w:pStyle w:val="ListBullet"/>
      </w:pPr>
      <w:r>
        <w:t>tensorial Hodge: 0.7241</w:t>
      </w:r>
    </w:p>
    <w:p>
      <w:pPr>
        <w:pStyle w:val="ListBullet"/>
      </w:pPr>
      <w:r>
        <w:t>retarded Hodge: 0.8042</w:t>
      </w:r>
    </w:p>
    <w:p>
      <w:pPr>
        <w:pStyle w:val="ListBullet"/>
      </w:pPr>
      <w:r>
        <w:t>scale-invariant constraint template: 0.9215</w:t>
      </w:r>
    </w:p>
    <w:p>
      <w:pPr>
        <w:jc w:val="both"/>
      </w:pPr>
      <w:r>
        <w:t>So operator structure is necessary.</w:t>
      </w:r>
    </w:p>
    <w:p>
      <w:pPr>
        <w:pStyle w:val="Heading2"/>
      </w:pPr>
      <w:r>
        <w:t>Pattern 3: Retardation Changes The Shape Of The Failure, Not The Outcome</w:t>
      </w:r>
    </w:p>
    <w:p>
      <w:pPr>
        <w:jc w:val="both"/>
      </w:pPr>
      <w:r>
        <w:t>The retarded branch is the first operator family that changes the failure pattern meaningfully.</w:t>
      </w:r>
    </w:p>
    <w:p>
      <w:pPr>
        <w:jc w:val="both"/>
      </w:pPr>
      <w:r>
        <w:t>Compared with the scalar and tensorial static operator reductions:</w:t>
      </w:r>
    </w:p>
    <w:p>
      <w:pPr>
        <w:pStyle w:val="ListBullet"/>
      </w:pPr>
      <w:r>
        <w:t>it raises SPARC holdout strongly</w:t>
      </w:r>
    </w:p>
    <w:p>
      <w:pPr>
        <w:pStyle w:val="ListBullet"/>
      </w:pPr>
      <w:r>
        <w:t>it improves paired external median stability</w:t>
      </w:r>
    </w:p>
    <w:p>
      <w:pPr>
        <w:pStyle w:val="ListBullet"/>
      </w:pPr>
      <w:r>
        <w:t>but it fails the paired external aggregate gate</w:t>
      </w:r>
    </w:p>
    <w:p>
      <w:pPr>
        <w:jc w:val="both"/>
      </w:pPr>
      <w:r>
        <w:t>So memory helps the structure.</w:t>
      </w:r>
    </w:p>
    <w:p>
      <w:pPr>
        <w:jc w:val="both"/>
      </w:pPr>
      <w:r>
        <w:t>It is not enough to solve the operator problem.</w:t>
      </w:r>
    </w:p>
    <w:p>
      <w:pPr>
        <w:pStyle w:val="Heading2"/>
      </w:pPr>
      <w:r>
        <w:t>Pattern 4: The Three-Galaxy Fallback Was Too Optimistic</w:t>
      </w:r>
    </w:p>
    <w:p>
      <w:pPr>
        <w:jc w:val="both"/>
      </w:pPr>
      <w:r>
        <w:t>The earlier alias-clean fallback set overstated external viability.</w:t>
      </w:r>
    </w:p>
    <w:p>
      <w:pPr>
        <w:jc w:val="both"/>
      </w:pPr>
      <w:r>
        <w:t>On the fallback set, operator branches looked much stronger.</w:t>
      </w:r>
    </w:p>
    <w:p>
      <w:pPr>
        <w:jc w:val="both"/>
      </w:pPr>
      <w:r>
        <w:t>On the first real paired THINGS/Leroy benchmark, they dropped sharply.</w:t>
      </w:r>
    </w:p>
    <w:p>
      <w:pPr>
        <w:jc w:val="both"/>
      </w:pPr>
      <w:r>
        <w:t>That remains the main empirical correction of this stage.</w:t>
      </w:r>
    </w:p>
    <w:p>
      <w:pPr>
        <w:pStyle w:val="Heading2"/>
      </w:pPr>
      <w:r>
        <w:t>Pattern 5: Handle Recovery Changes Sensitivity, Not Direction</w:t>
      </w:r>
    </w:p>
    <w:p>
      <w:pPr>
        <w:jc w:val="both"/>
      </w:pPr>
      <w:r>
        <w:t>The bounded 11/11 imputed-handle check is useful, but it does not change the direction of the benchmark.</w:t>
      </w:r>
    </w:p>
    <w:p>
      <w:pPr>
        <w:jc w:val="both"/>
      </w:pPr>
      <w:r>
        <w:t>The operator branches remain below MOND:</w:t>
      </w:r>
    </w:p>
    <w:p>
      <w:pPr>
        <w:pStyle w:val="ListBullet"/>
      </w:pPr>
      <w:r>
        <w:t>weighted Hodge aggregate 0.2328</w:t>
      </w:r>
    </w:p>
    <w:p>
      <w:pPr>
        <w:pStyle w:val="ListBullet"/>
      </w:pPr>
      <w:r>
        <w:t>tensorial Hodge aggregate 0.2350</w:t>
      </w:r>
    </w:p>
    <w:p>
      <w:pPr>
        <w:pStyle w:val="ListBullet"/>
      </w:pPr>
      <w:r>
        <w:t>retarded Hodge aggregate 0.1826</w:t>
      </w:r>
    </w:p>
    <w:p>
      <w:pPr>
        <w:pStyle w:val="ListBullet"/>
      </w:pPr>
      <w:r>
        <w:t>MOND aggregate 0.4106</w:t>
      </w:r>
    </w:p>
    <w:p>
      <w:pPr>
        <w:jc w:val="both"/>
      </w:pPr>
      <w:r>
        <w:t>So the handle-recovery branch is a robustness check, not a rescue.</w:t>
      </w:r>
    </w:p>
    <w:p>
      <w:pPr>
        <w:pStyle w:val="Heading2"/>
      </w:pPr>
      <w:r>
        <w:t>Pattern 6: Alpha Shortcuts Keep Failing</w:t>
      </w:r>
    </w:p>
    <w:p>
      <w:pPr>
        <w:jc w:val="both"/>
      </w:pPr>
      <w:r>
        <w:t>Threshold heuristics fail.</w:t>
      </w:r>
    </w:p>
    <w:p>
      <w:pPr>
        <w:jc w:val="both"/>
      </w:pPr>
      <w:r>
        <w:t>The naive logical filter fails.</w:t>
      </w:r>
    </w:p>
    <w:p>
      <w:pPr>
        <w:jc w:val="both"/>
      </w:pPr>
      <w:r>
        <w:t>A richer dual monitored quotient filter also fails.</w:t>
      </w:r>
    </w:p>
    <w:p>
      <w:pPr>
        <w:jc w:val="both"/>
      </w:pPr>
      <w:r>
        <w:t>Best richer-filter weights:</w:t>
      </w:r>
    </w:p>
    <w:p>
      <w:pPr>
        <w:pStyle w:val="ListBullet"/>
      </w:pPr>
      <w:r>
        <w:t>[0.5381, 0.3334, 0.1285]</w:t>
      </w:r>
    </w:p>
    <w:p>
      <w:pPr>
        <w:jc w:val="both"/>
      </w:pPr>
      <w:r>
        <w:t>Target:</w:t>
      </w:r>
    </w:p>
    <w:p>
      <w:pPr>
        <w:pStyle w:val="ListBullet"/>
      </w:pPr>
      <w:r>
        <w:t>[0.5, 0.25, 0.5]</w:t>
      </w:r>
    </w:p>
    <w:p>
      <w:pPr>
        <w:jc w:val="both"/>
      </w:pPr>
      <w:r>
        <w:t>So the alpha branch still lacks the right canonical measure.</w:t>
      </w:r>
    </w:p>
    <w:p>
      <w:pPr>
        <w:pStyle w:val="Heading2"/>
      </w:pPr>
      <w:r>
        <w:t>Pattern 7: Current IBM Data Do Not Hide A Threshold Signature</w:t>
      </w:r>
    </w:p>
    <w:p>
      <w:pPr>
        <w:jc w:val="both"/>
      </w:pPr>
      <w:r>
        <w:t>The present hardware datasets support the bridge and the branch-relative excess decay clue.</w:t>
      </w:r>
    </w:p>
    <w:p>
      <w:pPr>
        <w:jc w:val="both"/>
      </w:pPr>
      <w:r>
        <w:t>They do not support a threshold-kink interpretation.</w:t>
      </w:r>
    </w:p>
    <w:p>
      <w:pPr>
        <w:pStyle w:val="Heading2"/>
      </w:pPr>
      <w:r>
        <w:t>Pattern 8: Constraint-First Search Beats Blind Operator Search</w:t>
      </w:r>
    </w:p>
    <w:p>
      <w:pPr>
        <w:jc w:val="both"/>
      </w:pPr>
      <w:r>
        <w:t>The biggest new pattern is operational.</w:t>
      </w:r>
    </w:p>
    <w:p>
      <w:pPr>
        <w:jc w:val="both"/>
      </w:pPr>
      <w:r>
        <w:t>The first branch to materially close the external aggregate gap is the branch that imposes the right structural constraints explicitly:</w:t>
      </w:r>
    </w:p>
    <w:p>
      <w:pPr>
        <w:pStyle w:val="ListBullet"/>
      </w:pPr>
      <w:r>
        <w:t>Newtonian high-acceleration behavior</w:t>
      </w:r>
    </w:p>
    <w:p>
      <w:pPr>
        <w:pStyle w:val="ListBullet"/>
      </w:pPr>
      <w:r>
        <w:t>MOND-like low-acceleration bend</w:t>
      </w:r>
    </w:p>
    <w:p>
      <w:pPr>
        <w:pStyle w:val="ListBullet"/>
      </w:pPr>
      <w:r>
        <w:t>correct RAR, BTFR, and MDAR geometry</w:t>
      </w:r>
    </w:p>
    <w:p>
      <w:pPr>
        <w:jc w:val="both"/>
      </w:pPr>
      <w:r>
        <w:t>This is stronger evidence than any blind kernel tweak so far.</w:t>
      </w:r>
    </w:p>
    <w:p>
      <w:pPr>
        <w:pStyle w:val="Heading2"/>
      </w:pPr>
      <w:r>
        <w:t>Pattern 9: The Current Winner Is A Template, Not A Derivation</w:t>
      </w:r>
    </w:p>
    <w:p>
      <w:pPr>
        <w:jc w:val="both"/>
      </w:pPr>
      <w:r>
        <w:t>The scale-invariant branch performs well because it hard-wires the MOND-like asymptotic structure and only modulates it weakly with CSR response data.</w:t>
      </w:r>
    </w:p>
    <w:p>
      <w:pPr>
        <w:jc w:val="both"/>
      </w:pPr>
      <w:r>
        <w:t>The fitted CSR modulation is small:</w:t>
      </w:r>
    </w:p>
    <w:p>
      <w:pPr>
        <w:pStyle w:val="ListBullet"/>
      </w:pPr>
      <w:r>
        <w:t>eta = 0.00363</w:t>
      </w:r>
    </w:p>
    <w:p>
      <w:pPr>
        <w:jc w:val="both"/>
      </w:pPr>
      <w:r>
        <w:t>So the right reading is not:</w:t>
      </w:r>
    </w:p>
    <w:p>
      <w:pPr>
        <w:pStyle w:val="ListBullet"/>
      </w:pPr>
      <w:r>
        <w:t>CSR has derived the correct galaxy law</w:t>
      </w:r>
    </w:p>
    <w:p>
      <w:pPr>
        <w:jc w:val="both"/>
      </w:pPr>
      <w:r>
        <w:t>The right reading is:</w:t>
      </w:r>
    </w:p>
    <w:p>
      <w:pPr>
        <w:pStyle w:val="ListBullet"/>
      </w:pPr>
      <w:r>
        <w:t>the missing object is now explicit: a derived transition scale and low-acceleration bending law coming from the quotient/measure structure</w:t>
      </w:r>
    </w:p>
    <w:p>
      <w:pPr>
        <w:pStyle w:val="Heading2"/>
      </w:pPr>
      <w:r>
        <w:t>Bottom Line</w:t>
      </w:r>
    </w:p>
    <w:p>
      <w:pPr>
        <w:jc w:val="both"/>
      </w:pPr>
      <w:r>
        <w:t>The pattern is sharper again.</w:t>
      </w:r>
    </w:p>
    <w:p>
      <w:pPr>
        <w:pStyle w:val="ListBullet"/>
      </w:pPr>
      <w:r>
        <w:t>local bridge physics keeps surviving</w:t>
      </w:r>
    </w:p>
    <w:p>
      <w:pPr>
        <w:pStyle w:val="ListBullet"/>
      </w:pPr>
      <w:r>
        <w:t>blind operator search was wasting time</w:t>
      </w:r>
    </w:p>
    <w:p>
      <w:pPr>
        <w:pStyle w:val="ListBullet"/>
      </w:pPr>
      <w:r>
        <w:t>the real empirical gap is structural</w:t>
      </w:r>
    </w:p>
    <w:p>
      <w:pPr>
        <w:pStyle w:val="ListBullet"/>
      </w:pPr>
      <w:r>
        <w:t>the triple test should come before heavy benchmarking</w:t>
      </w:r>
    </w:p>
    <w:p>
      <w:pPr>
        <w:pStyle w:val="ListBullet"/>
      </w:pPr>
      <w:r>
        <w:t>the scale-invariant branch is the best constraint template so far</w:t>
      </w:r>
    </w:p>
    <w:p>
      <w:pPr>
        <w:pStyle w:val="ListBullet"/>
      </w:pPr>
      <w:r>
        <w:t>the live target is now explicit: derive the transition scale and low-acceleration bend from the quotient/measure structure instead of imposing them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PATTERN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Pattern Analysis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