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Primary-Source External Data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primary-source THINGS and LITTLE THINGS article tables materially expand the clean non-SPARC candidate pool.</w:t>
      </w:r>
    </w:p>
    <w:p>
      <w:pPr>
        <w:jc w:val="both"/>
      </w:pPr>
      <w:r>
        <w:t>They do not by themselves create a machine-readable decomposition-grade benchmark set.</w:t>
      </w:r>
    </w:p>
    <w:p>
      <w:pPr>
        <w:jc w:val="both"/>
      </w:pPr>
      <w:r>
        <w:t>The supporting audit is in csr_primary_source_external_data_audit.json.</w:t>
      </w:r>
    </w:p>
    <w:p>
      <w:pPr>
        <w:pStyle w:val="Heading2"/>
      </w:pPr>
      <w:r>
        <w:t>Counts From Downloaded Article Tables</w:t>
      </w:r>
    </w:p>
    <w:p>
      <w:pPr>
        <w:pStyle w:val="Heading3"/>
      </w:pPr>
      <w:r>
        <w:t>THINGS</w:t>
      </w:r>
    </w:p>
    <w:p>
      <w:pPr>
        <w:jc w:val="both"/>
      </w:pPr>
      <w:r>
        <w:t>Using the downloaded THINGS table in tmp/aj266574t2_ascii.txt:</w:t>
      </w:r>
    </w:p>
    <w:p>
      <w:pPr>
        <w:pStyle w:val="ListBullet"/>
      </w:pPr>
      <w:r>
        <w:t>total sample aliases in the article table: 19</w:t>
      </w:r>
    </w:p>
    <w:p>
      <w:pPr>
        <w:pStyle w:val="ListBullet"/>
      </w:pPr>
      <w:r>
        <w:t>SPARC overlaps: 13</w:t>
      </w:r>
    </w:p>
    <w:p>
      <w:pPr>
        <w:pStyle w:val="ListBullet"/>
      </w:pPr>
      <w:r>
        <w:t>clean non-SPARC aliases: 6</w:t>
      </w:r>
    </w:p>
    <w:p>
      <w:pPr>
        <w:jc w:val="both"/>
      </w:pPr>
      <w:r>
        <w:t>Clean THINGS aliases from the local article table:</w:t>
      </w:r>
    </w:p>
    <w:p>
      <w:pPr>
        <w:pStyle w:val="ListBullet"/>
      </w:pPr>
      <w:r>
        <w:t>n925</w:t>
      </w:r>
    </w:p>
    <w:p>
      <w:pPr>
        <w:pStyle w:val="ListBullet"/>
      </w:pPr>
      <w:r>
        <w:t>n3031</w:t>
      </w:r>
    </w:p>
    <w:p>
      <w:pPr>
        <w:pStyle w:val="ListBullet"/>
      </w:pPr>
      <w:r>
        <w:t>n3621</w:t>
      </w:r>
    </w:p>
    <w:p>
      <w:pPr>
        <w:pStyle w:val="ListBullet"/>
      </w:pPr>
      <w:r>
        <w:t>n3627</w:t>
      </w:r>
    </w:p>
    <w:p>
      <w:pPr>
        <w:pStyle w:val="ListBullet"/>
      </w:pPr>
      <w:r>
        <w:t>n4736</w:t>
      </w:r>
    </w:p>
    <w:p>
      <w:pPr>
        <w:pStyle w:val="ListBullet"/>
      </w:pPr>
      <w:r>
        <w:t>n4826</w:t>
      </w:r>
    </w:p>
    <w:p>
      <w:pPr>
        <w:pStyle w:val="Heading3"/>
      </w:pPr>
      <w:r>
        <w:t>LITTLE THINGS</w:t>
      </w:r>
    </w:p>
    <w:p>
      <w:pPr>
        <w:jc w:val="both"/>
      </w:pPr>
      <w:r>
        <w:t>Using the downloaded LITTLE THINGS tables in tmp/aj513259t1_ascii.txt and tmp/aj513259t2_ascii.txt:</w:t>
      </w:r>
    </w:p>
    <w:p>
      <w:pPr>
        <w:pStyle w:val="ListBullet"/>
      </w:pPr>
      <w:r>
        <w:t>total sample aliases: 26</w:t>
      </w:r>
    </w:p>
    <w:p>
      <w:pPr>
        <w:pStyle w:val="ListBullet"/>
      </w:pPr>
      <w:r>
        <w:t>SPARC overlaps: 3</w:t>
      </w:r>
    </w:p>
    <w:p>
      <w:pPr>
        <w:pStyle w:val="ListBullet"/>
      </w:pPr>
      <w:r>
        <w:t>clean non-SPARC aliases: 23</w:t>
      </w:r>
    </w:p>
    <w:p>
      <w:pPr>
        <w:jc w:val="both"/>
      </w:pPr>
      <w:r>
        <w:t>The clean LITTLE THINGS alias list is now recorded in the JSON audit.</w:t>
      </w:r>
    </w:p>
    <w:p>
      <w:pPr>
        <w:pStyle w:val="Heading3"/>
      </w:pPr>
      <w:r>
        <w:t>Combined Candidate Pool</w:t>
      </w:r>
    </w:p>
    <w:p>
      <w:pPr>
        <w:jc w:val="both"/>
      </w:pPr>
      <w:r>
        <w:t>Across the two primary-source article supplements:</w:t>
      </w:r>
    </w:p>
    <w:p>
      <w:pPr>
        <w:pStyle w:val="ListBullet"/>
      </w:pPr>
      <w:r>
        <w:t>unique clean non-SPARC candidate aliases: 29</w:t>
      </w:r>
    </w:p>
    <w:p>
      <w:pPr>
        <w:jc w:val="both"/>
      </w:pPr>
      <w:r>
        <w:t>That is the real immediate expansion path for the external programme.</w:t>
      </w:r>
    </w:p>
    <w:p>
      <w:pPr>
        <w:pStyle w:val="Heading2"/>
      </w:pPr>
      <w:r>
        <w:t>What The Downloaded Tables Actually Contain</w:t>
      </w:r>
    </w:p>
    <w:p>
      <w:pPr>
        <w:pStyle w:val="Heading3"/>
      </w:pPr>
      <w:r>
        <w:t>THINGS article table</w:t>
      </w:r>
    </w:p>
    <w:p>
      <w:pPr>
        <w:jc w:val="both"/>
      </w:pPr>
      <w:r>
        <w:t>The local downloaded ASCII table is a tilted-ring/sample summary table.</w:t>
      </w:r>
    </w:p>
    <w:p>
      <w:pPr>
        <w:jc w:val="both"/>
      </w:pPr>
      <w:r>
        <w:t>It does not contain per-radius gas and stellar decomposition columns in the downloaded article supplement.</w:t>
      </w:r>
    </w:p>
    <w:p>
      <w:pPr>
        <w:pStyle w:val="Heading3"/>
      </w:pPr>
      <w:r>
        <w:t>LITTLE THINGS article tables</w:t>
      </w:r>
    </w:p>
    <w:p>
      <w:pPr>
        <w:jc w:val="both"/>
      </w:pPr>
      <w:r>
        <w:t>The local downloaded ASCII tables contain:</w:t>
      </w:r>
    </w:p>
    <w:p>
      <w:pPr>
        <w:pStyle w:val="ListBullet"/>
      </w:pPr>
      <w:r>
        <w:t>sample/tilted-ring parameters</w:t>
      </w:r>
    </w:p>
    <w:p>
      <w:pPr>
        <w:pStyle w:val="ListBullet"/>
      </w:pPr>
      <w:r>
        <w:t>galaxy-level mass-model summary values, including gas and stellar masses</w:t>
      </w:r>
    </w:p>
    <w:p>
      <w:pPr>
        <w:jc w:val="both"/>
      </w:pPr>
      <w:r>
        <w:t>They do not contain per-radius gas-plus-stellar decomposition columns in the downloaded article supplement.</w:t>
      </w:r>
    </w:p>
    <w:p>
      <w:pPr>
        <w:jc w:val="both"/>
      </w:pPr>
      <w:r>
        <w:t>So both surveys are real external rotation-curve candidate pools, but not ready-made clause-3 baryonic benchmark tables in the form currently downloaded.</w:t>
      </w:r>
    </w:p>
    <w:p>
      <w:pPr>
        <w:pStyle w:val="Heading2"/>
      </w:pPr>
      <w:r>
        <w:t>What This Means For The Real Mission</w:t>
      </w:r>
    </w:p>
    <w:p>
      <w:pPr>
        <w:jc w:val="both"/>
      </w:pPr>
      <w:r>
        <w:t>The dataset bottleneck is narrower than it first looked.</w:t>
      </w:r>
    </w:p>
    <w:p>
      <w:pPr>
        <w:jc w:val="both"/>
      </w:pPr>
      <w:r>
        <w:t>The problem is no longer “find more galaxies.”</w:t>
      </w:r>
    </w:p>
    <w:p>
      <w:pPr>
        <w:jc w:val="both"/>
      </w:pPr>
      <w:r>
        <w:t>The problem is:</w:t>
      </w:r>
    </w:p>
    <w:p>
      <w:pPr>
        <w:pStyle w:val="ListBullet"/>
      </w:pPr>
      <w:r>
        <w:t>keep rotation curves from THINGS and LITTLE THINGS</w:t>
      </w:r>
    </w:p>
    <w:p>
      <w:pPr>
        <w:pStyle w:val="ListBullet"/>
      </w:pPr>
      <w:r>
        <w:t>pair them with radial stellar profiles from S4G or GALEX/S4G</w:t>
      </w:r>
    </w:p>
    <w:p>
      <w:pPr>
        <w:pStyle w:val="ListBullet"/>
      </w:pPr>
      <w:r>
        <w:t>anchor M/L with DiskMass or comparable calibration</w:t>
      </w:r>
    </w:p>
    <w:p>
      <w:pPr>
        <w:pStyle w:val="ListBullet"/>
      </w:pPr>
      <w:r>
        <w:t>only after that move to larger-scale catalogues like Persic-Salucci, WHISP, or LVHIS</w:t>
      </w:r>
    </w:p>
    <w:p>
      <w:pPr>
        <w:jc w:val="both"/>
      </w:pPr>
      <w:r>
        <w:t>So the next acquisition path is not random dataset hunting. It is a specific pipeline build.</w:t>
      </w:r>
    </w:p>
    <w:p>
      <w:pPr>
        <w:pStyle w:val="Heading2"/>
      </w:pPr>
      <w:r>
        <w:t>Bottom Line</w:t>
      </w:r>
    </w:p>
    <w:p>
      <w:pPr>
        <w:jc w:val="both"/>
      </w:pPr>
      <w:r>
        <w:t>Primary-source THINGS and LITTLE THINGS data already show that the clean non-SPARC candidate pool is large enough to matter.</w:t>
      </w:r>
    </w:p>
    <w:p>
      <w:pPr>
        <w:jc w:val="both"/>
      </w:pPr>
      <w:r>
        <w:t>What is still missing is not more names.</w:t>
      </w:r>
    </w:p>
    <w:p>
      <w:pPr>
        <w:jc w:val="both"/>
      </w:pPr>
      <w:r>
        <w:t>What is missing is a paired baryonic radial-profile pipeline that turns those surveys into a real decomposition-grade benchmark 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PRIMARY-SOURCE EXTERNAL DATA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Primary-Source External Data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