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Scale-Invariant Operator Family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note records the first constraint-driven operator family built from the empirical structure that successful galaxy theories actually need:</w:t>
      </w:r>
    </w:p>
    <w:p>
      <w:pPr>
        <w:pStyle w:val="ListBullet"/>
      </w:pPr>
      <w:r>
        <w:t>Newtonian behavior at high acceleration</w:t>
      </w:r>
    </w:p>
    <w:p>
      <w:pPr>
        <w:pStyle w:val="ListBullet"/>
      </w:pPr>
      <w:r>
        <w:t>MOND-like square-root scaling at low acceleration</w:t>
      </w:r>
    </w:p>
    <w:p>
      <w:pPr>
        <w:pStyle w:val="ListBullet"/>
      </w:pPr>
      <w:r>
        <w:t>local modulation from the CSR quotient response</w:t>
      </w:r>
    </w:p>
    <w:p>
      <w:pPr>
        <w:jc w:val="both"/>
      </w:pPr>
      <w:r>
        <w:t>The machine-readable audit is in output/audit/csr_scale_invariant_operator_family.json.</w:t>
      </w:r>
    </w:p>
    <w:p>
      <w:pPr>
        <w:pStyle w:val="Heading2"/>
      </w:pPr>
      <w:r>
        <w:t>Law</w:t>
      </w:r>
    </w:p>
    <w:p>
      <w:pPr>
        <w:jc w:val="both"/>
      </w:pPr>
      <w:r>
        <w:t>The tested family was</w:t>
      </w:r>
    </w:p>
    <w:p>
      <w:pPr>
        <w:pStyle w:val="ListBullet"/>
      </w:pPr>
      <w:r>
        <w:t>q(r) = clip(1 + eta q_raw(r), 0.05, 20)</w:t>
      </w:r>
    </w:p>
    <w:p>
      <w:pPr>
        <w:pStyle w:val="ListBullet"/>
      </w:pPr>
      <w:r>
        <w:t>a_eff(r) = a0 q(r)</w:t>
      </w:r>
    </w:p>
    <w:p>
      <w:pPr>
        <w:pStyle w:val="ListBullet"/>
      </w:pPr>
      <w:r>
        <w:t>g_pred = g_bar / (1 - exp(-sqrt(g_bar / a_eff)))</w:t>
      </w:r>
    </w:p>
    <w:p>
      <w:pPr>
        <w:pStyle w:val="ListBullet"/>
      </w:pPr>
      <w:r>
        <w:t>v_pred^2 = r g_pred</w:t>
      </w:r>
    </w:p>
    <w:p>
      <w:pPr>
        <w:jc w:val="both"/>
      </w:pPr>
      <w:r>
        <w:t>Here q_raw comes from the best scalar weighted-Hodge quotient response.</w:t>
      </w:r>
    </w:p>
    <w:p>
      <w:pPr>
        <w:pStyle w:val="Heading2"/>
      </w:pPr>
      <w:r>
        <w:t>Results</w:t>
      </w:r>
    </w:p>
    <w:p>
      <w:pPr>
        <w:pStyle w:val="ListBullet"/>
      </w:pPr>
      <w:r>
        <w:t>SPARC holdout mean R^2 = 0.9215 +/- 0.0161</w:t>
      </w:r>
    </w:p>
    <w:p>
      <w:pPr>
        <w:pStyle w:val="ListBullet"/>
      </w:pPr>
      <w:r>
        <w:t>full SPARC aggregate R^2 = 0.9330</w:t>
      </w:r>
    </w:p>
    <w:p>
      <w:pPr>
        <w:pStyle w:val="ListBullet"/>
      </w:pPr>
      <w:r>
        <w:t>local 3-gal fallback aggregate R^2 = 0.8776</w:t>
      </w:r>
    </w:p>
    <w:p>
      <w:pPr>
        <w:pStyle w:val="ListBullet"/>
      </w:pPr>
      <w:r>
        <w:t>paired THINGS/Leroy 9-gal aggregate R^2 = 0.4170</w:t>
      </w:r>
    </w:p>
    <w:p>
      <w:pPr>
        <w:pStyle w:val="ListBullet"/>
      </w:pPr>
      <w:r>
        <w:t>paired THINGS/Leroy median R^2 = -1.2556</w:t>
      </w:r>
    </w:p>
    <w:p>
      <w:pPr>
        <w:jc w:val="both"/>
      </w:pPr>
      <w:r>
        <w:t>Best fit:</w:t>
      </w:r>
    </w:p>
    <w:p>
      <w:pPr>
        <w:pStyle w:val="ListBullet"/>
      </w:pPr>
      <w:r>
        <w:t>a0 = 3519.93</w:t>
      </w:r>
    </w:p>
    <w:p>
      <w:pPr>
        <w:pStyle w:val="ListBullet"/>
      </w:pPr>
      <w:r>
        <w:t>eta = 0.00363</w:t>
      </w:r>
    </w:p>
    <w:p>
      <w:pPr>
        <w:pStyle w:val="Heading2"/>
      </w:pPr>
      <w:r>
        <w:t>Reading</w:t>
      </w:r>
    </w:p>
    <w:p>
      <w:pPr>
        <w:jc w:val="both"/>
      </w:pPr>
      <w:r>
        <w:t>This branch is the first one to match MOND-level aggregate external performance on the frozen THINGS/Leroy benchmark.</w:t>
      </w:r>
    </w:p>
    <w:p>
      <w:pPr>
        <w:jc w:val="both"/>
      </w:pPr>
      <w:r>
        <w:t>That is important.</w:t>
      </w:r>
    </w:p>
    <w:p>
      <w:pPr>
        <w:jc w:val="both"/>
      </w:pPr>
      <w:r>
        <w:t>It means your friend's advice was directionally correct:</w:t>
      </w:r>
    </w:p>
    <w:p>
      <w:pPr>
        <w:pStyle w:val="ListBullet"/>
      </w:pPr>
      <w:r>
        <w:t>searching blind through kernels was wasting time</w:t>
      </w:r>
    </w:p>
    <w:p>
      <w:pPr>
        <w:pStyle w:val="ListBullet"/>
      </w:pPr>
      <w:r>
        <w:t>the winning branch is the first one that imposes the right low-acceleration structure explicitly</w:t>
      </w:r>
    </w:p>
    <w:p>
      <w:pPr>
        <w:jc w:val="both"/>
      </w:pPr>
      <w:r>
        <w:t>But the same result also imposes a hard caution.</w:t>
      </w:r>
    </w:p>
    <w:p>
      <w:pPr>
        <w:jc w:val="both"/>
      </w:pPr>
      <w:r>
        <w:t>The fitted CSR modulation is tiny:</w:t>
      </w:r>
    </w:p>
    <w:p>
      <w:pPr>
        <w:pStyle w:val="ListBullet"/>
      </w:pPr>
      <w:r>
        <w:t>eta is close to zero</w:t>
      </w:r>
    </w:p>
    <w:p>
      <w:pPr>
        <w:jc w:val="both"/>
      </w:pPr>
      <w:r>
        <w:t>So the current success is not evidence that CSR has derived the law. It is evidence that the missing ingredient is the transition-scale structure embodied in the RAR/BTFR/MDAR triple test.</w:t>
      </w:r>
    </w:p>
    <w:p>
      <w:pPr>
        <w:pStyle w:val="Heading2"/>
      </w:pPr>
      <w:r>
        <w:t>Bottom Line</w:t>
      </w:r>
    </w:p>
    <w:p>
      <w:pPr>
        <w:jc w:val="both"/>
      </w:pPr>
      <w:r>
        <w:t>This is not yet a derived CSR galaxy law.</w:t>
      </w:r>
    </w:p>
    <w:p>
      <w:pPr>
        <w:jc w:val="both"/>
      </w:pPr>
      <w:r>
        <w:t>It is the best constraint template so far.</w:t>
      </w:r>
    </w:p>
    <w:p>
      <w:pPr>
        <w:jc w:val="both"/>
      </w:pPr>
      <w:r>
        <w:t>The live task is now narrower:</w:t>
      </w:r>
    </w:p>
    <w:p>
      <w:pPr>
        <w:jc w:val="both"/>
      </w:pPr>
      <w:r>
        <w:t>derive the scale-setting and low-acceleration bend from the quotient/measure structure instead of hard-wiring the MOND-like asymptotics.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SCALE-INVARIANT OPERATOR FAMILY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Scale-Invariant Operator Family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