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Semiclassical Candidate Line-By-Line Review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Purpose</w:t>
      </w:r>
    </w:p>
    <w:p>
      <w:pPr>
        <w:jc w:val="both"/>
      </w:pPr>
      <w:r>
        <w:t>This is a line-by-line scientific review of the recent semiclassical candidate note that proposed the density-gradient CSR galaxy law.</w:t>
      </w:r>
    </w:p>
    <w:p>
      <w:pPr>
        <w:jc w:val="both"/>
      </w:pPr>
      <w:r>
        <w:t>The goal is not to defend the note. It is to mark, claim by claim, what is proved, what is conditional, and what fails against the new benchmark.</w:t>
      </w:r>
    </w:p>
    <w:p>
      <w:pPr>
        <w:pStyle w:val="Heading2"/>
      </w:pPr>
      <w:r>
        <w:t>Line-By-Line Review</w:t>
      </w:r>
    </w:p>
    <w:p>
      <w:pPr>
        <w:pStyle w:val="Heading3"/>
      </w:pPr>
      <w:r>
        <w:t>Step 1: d rho_m / dt = (g / kappa) D[sigma_z] rho_m</w:t>
      </w:r>
    </w:p>
    <w:p>
      <w:pPr>
        <w:jc w:val="both"/>
      </w:pPr>
      <w:r>
        <w:t>Status: proved in the minimal anticommuting bridge calculation, though the later full-lattice note sharpens the coefficient structure.</w:t>
      </w:r>
    </w:p>
    <w:p>
      <w:pPr>
        <w:jc w:val="both"/>
      </w:pPr>
      <w:r>
        <w:t>This is the strongest part of the note. The existence of the bridge channel is real. The exact many-body coefficient still depends on which reduction is being used, but the channel itself survives.</w:t>
      </w:r>
    </w:p>
    <w:p>
      <w:pPr>
        <w:pStyle w:val="Heading3"/>
      </w:pPr>
      <w:r>
        <w:t>Step 2: Wigner-function passage to a classical transport equation</w:t>
      </w:r>
    </w:p>
    <w:p>
      <w:pPr>
        <w:jc w:val="both"/>
      </w:pPr>
      <w:r>
        <w:t>Status: structurally reasonable, not fully executed in the note.</w:t>
      </w:r>
    </w:p>
    <w:p>
      <w:pPr>
        <w:jc w:val="both"/>
      </w:pPr>
      <w:r>
        <w:t>The note is right that a Lindblad channel can be carried into phase-space language. It moves too quickly from that general statement to a force-form expression. The exact classical term depends on what observable sigma_z maps to and how the coarse-graining is done.</w:t>
      </w:r>
    </w:p>
    <w:p>
      <w:pPr>
        <w:jc w:val="both"/>
      </w:pPr>
      <w:r>
        <w:t>So Step 2 is not wrong, but it is underived in the note.</w:t>
      </w:r>
    </w:p>
    <w:p>
      <w:pPr>
        <w:pStyle w:val="Heading3"/>
      </w:pPr>
      <w:r>
        <w:t>Step 3: sigma_z -&gt; delta(r) or baryon-density contrast</w:t>
      </w:r>
    </w:p>
    <w:p>
      <w:pPr>
        <w:jc w:val="both"/>
      </w:pPr>
      <w:r>
        <w:t>Status: candidate, not derived.</w:t>
      </w:r>
    </w:p>
    <w:p>
      <w:pPr>
        <w:jc w:val="both"/>
      </w:pPr>
      <w:r>
        <w:t>This is the key definitional gap. The note labels it as a candidate and that is correct. Nothing in the current stabilizer algebra forces sigma_z to equal a baryon-density contrast field.</w:t>
      </w:r>
    </w:p>
    <w:p>
      <w:pPr>
        <w:jc w:val="both"/>
      </w:pPr>
      <w:r>
        <w:t>This is the line where the argument stops being code-derived and starts being an interpretive proposal.</w:t>
      </w:r>
    </w:p>
    <w:p>
      <w:pPr>
        <w:pStyle w:val="Heading3"/>
      </w:pPr>
      <w:r>
        <w:t>Step 4: a_CSR(r) = (g / kappa) |d ln rho_b / dr|</w:t>
      </w:r>
    </w:p>
    <w:p>
      <w:pPr>
        <w:jc w:val="both"/>
      </w:pPr>
      <w:r>
        <w:t>Status: conditional on Step 3.</w:t>
      </w:r>
    </w:p>
    <w:p>
      <w:pPr>
        <w:jc w:val="both"/>
      </w:pPr>
      <w:r>
        <w:t>This is the first explicit candidate galaxy law produced by the CSR programme. That is scientifically useful. But it is only as valid as the Step 3 mapping.</w:t>
      </w:r>
    </w:p>
    <w:p>
      <w:pPr>
        <w:jc w:val="both"/>
      </w:pPr>
      <w:r>
        <w:t>The new benchmark shows what this conditional law actually does:</w:t>
      </w:r>
    </w:p>
    <w:p>
      <w:pPr>
        <w:pStyle w:val="ListBullet"/>
      </w:pPr>
      <w:r>
        <w:t>SPARC holdout R^2 = 0.7145 +/- 0.0571</w:t>
      </w:r>
    </w:p>
    <w:p>
      <w:pPr>
        <w:pStyle w:val="ListBullet"/>
      </w:pPr>
      <w:r>
        <w:t>full-sample SPARC R^2 = 0.7116</w:t>
      </w:r>
    </w:p>
    <w:p>
      <w:pPr>
        <w:pStyle w:val="ListBullet"/>
      </w:pPr>
      <w:r>
        <w:t>local external aggregate R^2 = 0.0600 on m33, n1560, n5533</w:t>
      </w:r>
    </w:p>
    <w:p>
      <w:pPr>
        <w:jc w:val="both"/>
      </w:pPr>
      <w:r>
        <w:t>So the line is benchmarkable, but not strong enough.</w:t>
      </w:r>
    </w:p>
    <w:p>
      <w:pPr>
        <w:pStyle w:val="Heading3"/>
      </w:pPr>
      <w:r>
        <w:t>Step 4 claim: positive-definite and fixes the negative-density problem</w:t>
      </w:r>
    </w:p>
    <w:p>
      <w:pPr>
        <w:jc w:val="both"/>
      </w:pPr>
      <w:r>
        <w:t>Status: true in the narrow algebraic sense.</w:t>
      </w:r>
    </w:p>
    <w:p>
      <w:pPr>
        <w:jc w:val="both"/>
      </w:pPr>
      <w:r>
        <w:t>Because the law uses |d ln rho / dr|, the correction term is nonnegative. So it does eliminate the old sign problem of the legacy derivative ansatz.</w:t>
      </w:r>
    </w:p>
    <w:p>
      <w:pPr>
        <w:jc w:val="both"/>
      </w:pPr>
      <w:r>
        <w:t>But fixing sign alone is not enough. The benchmark shows that a positive-definite correction can still be dynamically inadequate.</w:t>
      </w:r>
    </w:p>
    <w:p>
      <w:pPr>
        <w:pStyle w:val="Heading3"/>
      </w:pPr>
      <w:r>
        <w:t>Step 5: transition scale and MOND connection</w:t>
      </w:r>
    </w:p>
    <w:p>
      <w:pPr>
        <w:jc w:val="both"/>
      </w:pPr>
      <w:r>
        <w:t>Status: not derived.</w:t>
      </w:r>
    </w:p>
    <w:p>
      <w:pPr>
        <w:jc w:val="both"/>
      </w:pPr>
      <w:r>
        <w:t>The note is correct to flag the dimensional gap. The fitted law introduces a scale A = 1356.422 km^2 s^-2 in the practical benchmark, but the code-to-units map that would tie this to g / kappa is not closed.</w:t>
      </w:r>
    </w:p>
    <w:p>
      <w:pPr>
        <w:jc w:val="both"/>
      </w:pPr>
      <w:r>
        <w:t>So the note does not yet derive the MOND scale. It identifies where that derivation would have to happen.</w:t>
      </w:r>
    </w:p>
    <w:p>
      <w:pPr>
        <w:pStyle w:val="Heading3"/>
      </w:pPr>
      <w:r>
        <w:t>Step 7: alpha decomposition</w:t>
      </w:r>
    </w:p>
    <w:p>
      <w:pPr>
        <w:jc w:val="both"/>
      </w:pPr>
      <w:r>
        <w:t>Status: independent candidate lead, not support for the galaxy law.</w:t>
      </w:r>
    </w:p>
    <w:p>
      <w:pPr>
        <w:jc w:val="both"/>
      </w:pPr>
      <w:r>
        <w:t>The alpha section does not strengthen the density-gradient galaxy claim directly. It belongs to a separate theoretical track. Keeping it in the same note risks making the galaxy law look more complete than it is.</w:t>
      </w:r>
    </w:p>
    <w:p>
      <w:pPr>
        <w:pStyle w:val="Heading2"/>
      </w:pPr>
      <w:r>
        <w:t>What The Review Changes</w:t>
      </w:r>
    </w:p>
    <w:p>
      <w:pPr>
        <w:jc w:val="both"/>
      </w:pPr>
      <w:r>
        <w:t>The note should now be read as containing:</w:t>
      </w:r>
    </w:p>
    <w:p>
      <w:pPr>
        <w:pStyle w:val="ListBullet"/>
      </w:pPr>
      <w:r>
        <w:t>one proved bridge result</w:t>
      </w:r>
    </w:p>
    <w:p>
      <w:pPr>
        <w:pStyle w:val="ListBullet"/>
      </w:pPr>
      <w:r>
        <w:t>one plausible but underived Wigner bridge step</w:t>
      </w:r>
    </w:p>
    <w:p>
      <w:pPr>
        <w:pStyle w:val="ListBullet"/>
      </w:pPr>
      <w:r>
        <w:t>one unproved matter-field identification</w:t>
      </w:r>
    </w:p>
    <w:p>
      <w:pPr>
        <w:pStyle w:val="ListBullet"/>
      </w:pPr>
      <w:r>
        <w:t>one explicit candidate galaxy law that has now been benchmarked and found weaker than MOND</w:t>
      </w:r>
    </w:p>
    <w:p>
      <w:pPr>
        <w:jc w:val="both"/>
      </w:pPr>
      <w:r>
        <w:t>That is a narrower and more accurate reading than the original progression in the note suggested.</w:t>
      </w:r>
    </w:p>
    <w:p>
      <w:pPr>
        <w:pStyle w:val="Heading2"/>
      </w:pPr>
      <w:r>
        <w:t>Bottom Line</w:t>
      </w:r>
    </w:p>
    <w:p>
      <w:pPr>
        <w:jc w:val="both"/>
      </w:pPr>
      <w:r>
        <w:t>The note was scientifically worth writing because it produced a testable kernel.</w:t>
      </w:r>
    </w:p>
    <w:p>
      <w:pPr>
        <w:jc w:val="both"/>
      </w:pPr>
      <w:r>
        <w:t>That kernel has now been tested. It is not enough.</w:t>
      </w:r>
    </w:p>
    <w:p>
      <w:pPr>
        <w:jc w:val="both"/>
      </w:pPr>
      <w:r>
        <w:t>So the next CSR galaxy-law attempt should not reuse this candidate as if it were merely awaiting more data. It should be treated as an explored branch:</w:t>
      </w:r>
    </w:p>
    <w:p>
      <w:pPr>
        <w:pStyle w:val="ListBullet"/>
      </w:pPr>
      <w:r>
        <w:t>cleaner than the legacy ansatz</w:t>
      </w:r>
    </w:p>
    <w:p>
      <w:pPr>
        <w:pStyle w:val="ListBullet"/>
      </w:pPr>
      <w:r>
        <w:t>weaker than MOND</w:t>
      </w:r>
    </w:p>
    <w:p>
      <w:pPr>
        <w:pStyle w:val="ListBullet"/>
      </w:pPr>
      <w:r>
        <w:t>not yet the law CSR needs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SEMICLASSICAL CANDIDATE LINE-BY-LINE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Semiclassical Candidate Line-By-Line Review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