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Strict Audit of Gemini Claims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This document audits the Gemini material claim by claim and separates what is useful from what is unsupported. The standard here is evidence-first. A claim is only retained if it improves the technical program or can be turned into a direct falsification test.</w:t>
      </w:r>
    </w:p>
    <w:p>
      <w:pPr>
        <w:pStyle w:val="Heading2"/>
      </w:pPr>
      <w:r>
        <w:t>Status Key</w:t>
      </w:r>
    </w:p>
    <w:p>
      <w:pPr>
        <w:pStyle w:val="ListBullet"/>
      </w:pPr>
      <w:r>
        <w:t>Supported: consistent with the current record and useful now.</w:t>
      </w:r>
    </w:p>
    <w:p>
      <w:pPr>
        <w:pStyle w:val="ListBullet"/>
      </w:pPr>
      <w:r>
        <w:t>Actionable but unproven: worth testing, but not evidence.</w:t>
      </w:r>
    </w:p>
    <w:p>
      <w:pPr>
        <w:pStyle w:val="ListBullet"/>
      </w:pPr>
      <w:r>
        <w:t>Unsupported: no current basis in the repo or in the cited logic.</w:t>
      </w:r>
    </w:p>
    <w:p>
      <w:pPr>
        <w:pStyle w:val="ListBullet"/>
      </w:pPr>
      <w:r>
        <w:t>Out of scope: not part of research validation.</w:t>
      </w:r>
    </w:p>
    <w:p>
      <w:pPr>
        <w:pStyle w:val="Heading2"/>
      </w:pPr>
      <w:r>
        <w:t>Claim Matrix</w:t>
      </w:r>
    </w:p>
    <w:p>
      <w:pPr>
        <w:jc w:val="both"/>
      </w:pPr>
      <w:r>
        <w:t>| Claim | Status | Why | What To Keep | What To Reject | What To Test Instead | | --- | --- | --- | --- | --- | --- | | A real breakthrough must survive replication and invariance checks. | Supported | This is standard scientific practice and aligns with the new reality suite. | Replication, blind tests, fixed gates. | None. | Repeat on fixed datasets and later on other hardware classes. | | Cross-environment validation across CPU, GPU, ARM, FPGA would help rule out local artifacts. | Actionable but unproven | Good later-phase test, but not available on this machine now. | Keep as later-stage validation. | Do not treat it as already done. | Add as Phase 2 after a model survives the local reality suite. | | Hardware heat reduction would prove CSR physics. | Unsupported | Local heat or power change can reflect implementation details, thread settings, cache behavior, or measurement noise. It is not evidence of new physics. | Keep heat and power only as engineering metrics if measurable. | Reject as physics proof. | Use preregistered scientific gates plus local engineering telemetry only as secondary evidence. | | A 30 percent power reduction is a plausible proof threshold. | Unsupported | The number is arbitrary and was not derived from any current workload or sensor data. | None. | Reject the threshold. | Measure runtime, CPU time, memory, and only quote power if the sensor exists and the effect is stable. | | A Rust stress test can prove entropy reversal. | Unsupported | "Entropy reversal" is not an operational proof concept in the current CSR record. | Keep the idea of a reproducible benchmark harness. | Reject entropy-reversal framing. | Use ablations, shuffled nulls, blind holdouts, and confidence intervals. | | The Lindblad bridge rate staying constant across hardware would prove the physics of the data itself. | Unsupported | The bridge rate is part of the theory record, but software/hardware execution timing is not a direct measurement of that physical parameter. | Keep the need to distinguish theory constants from implementation artifacts. | Reject the direct equivalence between runtime behavior and bridge-rate proof. | Measure theory quantities in the model and hardware quantities in engineering tests separately. | | A predictive blind test on unrelated data such as financial ticks would validate CSR broadly. | Unsupported | The current CSR program is not derived for finance or arbitrary sequence prediction. | Keep blind testing within domain. | Reject domain-jumping claims. | Blind external galaxy tests and later domain-specific pilots only if a real derived law exists. | | Baseline-vs-candidate benchmarking is the right discipline. | Supported | This is now built into the software and hardware suites. | Keep baseline vs candidate comparisons. | None. | Continue using frozen baselines and fixed reporting rules. | | Hardware and software tests should be separated. | Supported | Engineering metrics and scientific validation are different objects. | Keep explicit separation. | None. | Maintain separate suites and reports. | | Sub-100ns HFT determinism is a realistic immediate CSR claim. | Unsupported | There is no evidence in this repo for nanosecond trading performance, FPGA-class determinism, or production exchange behavior. | None. | Reject the HFT latency claim entirely. | If a future engineering branch targets latency, benchmark it honestly on representative workloads first. | | Licensing one efficiency API to a telco or power company could yield specific passive income numbers. | Unsupported | No measured pilot, no product-market fit evidence, and no contract basis. | Keep only the idea that validated efficiency gains can be commercially interesting. | Reject all specific revenue numbers. | Present only evidence-backed pilot scenarios after measured gains exist. | | Utility model or patent filing automatically makes the discovery globally owned. | Unsupported | Filing strategy is legal territory and country-specific. It is outside this research validation scope. | None in this package. | Reject legal certainty language. | Separate IP strategy from technical validation. | | Visa, residency, Germany vs Dubai vs Switzerland, and similar relocation strategy are part of the CSR research program. | Out of scope | Personal migration strategy is not research validation. | None. | Remove from core package. | Keep the package technical and evidence-only. | | Medical Ausbildung and narrative control plans are strategically necessary for CSR. | Out of scope | These are personal and business-life decisions, not scientific validation. | None. | Remove entirely. | Keep the research package domain-neutral. | | Wealth projections and billion-dollar outcomes follow from a partial breakthrough. | Unsupported | There is no basis for these numbers in the current evidence. | None. | Reject valuation and wealth language. | If needed, present scenario planning only after measured pilots and external demand. | | HFT, MedTech, and national infrastructure are immediate commercial beachheads. | Unsupported | No validated product, no derived law, no performance evidence in those domains. | None. | Reject immediate beachhead claims. | Use industry summary language limited to measured local engineering behavior. | | The right immediate technical move is to build a black-box kernel and start monetizing. | Actionable but unproven | Packaging and benchmarking are useful, but monetization language is premature. | Keep reproducible benchmarking and modular packaging. | Reject immediate monetization framing. | Build verification harnesses and one evidence pack first. | | Wasm obfuscation and license heartbeats are necessary now. | Out of scope | Software protection strategy is not part of proving CSR. | None. | Remove from the core package. | If commercialization ever becomes real, do a separate product security review. | | The real proof standard should be preregistered falsification thresholds, blind holdouts, null controls, and confidence intervals. | Supported | This is the strongest replacement for the hype-heavy framing. | Keep in full. | None. | Already implemented in the CSR reality suite. |</w:t>
      </w:r>
    </w:p>
    <w:p>
      <w:pPr>
        <w:pStyle w:val="Heading2"/>
      </w:pPr>
      <w:r>
        <w:t>What The Audit Changes</w:t>
      </w:r>
    </w:p>
    <w:p>
      <w:pPr>
        <w:pStyle w:val="ListNumber"/>
      </w:pPr>
      <w:r>
        <w:t>It keeps only the parts that strengthen proof discipline.</w:t>
      </w:r>
    </w:p>
    <w:p>
      <w:pPr>
        <w:pStyle w:val="ListNumber"/>
      </w:pPr>
      <w:r>
        <w:t>It removes personal strategy, legal tactics, and speculative finance from the research core.</w:t>
      </w:r>
    </w:p>
    <w:p>
      <w:pPr>
        <w:pStyle w:val="ListNumber"/>
      </w:pPr>
      <w:r>
        <w:t>It replaces hype claims with measurable gates.</w:t>
      </w:r>
    </w:p>
    <w:p>
      <w:pPr>
        <w:pStyle w:val="Heading2"/>
      </w:pPr>
      <w:r>
        <w:t>Locked Replacements</w:t>
      </w:r>
    </w:p>
    <w:p>
      <w:pPr>
        <w:pStyle w:val="ListBullet"/>
      </w:pPr>
      <w:r>
        <w:t>Replace "entropy reversal" with ablation, null, and shuffle controls.</w:t>
      </w:r>
    </w:p>
    <w:p>
      <w:pPr>
        <w:pStyle w:val="ListBullet"/>
      </w:pPr>
      <w:r>
        <w:t>Replace heat-as-physics with local engineering telemetry only.</w:t>
      </w:r>
    </w:p>
    <w:p>
      <w:pPr>
        <w:pStyle w:val="ListBullet"/>
      </w:pPr>
      <w:r>
        <w:t>Replace broad commercialization claims with measured local efficiency evidence only.</w:t>
      </w:r>
    </w:p>
    <w:p>
      <w:pPr>
        <w:pStyle w:val="ListBullet"/>
      </w:pPr>
      <w:r>
        <w:t>Replace broad life-strategy advice with a technical scope boundary.</w:t>
      </w:r>
    </w:p>
    <w:p>
      <w:pPr>
        <w:pStyle w:val="Heading2"/>
      </w:pPr>
      <w:r>
        <w:t>Bottom Line</w:t>
      </w:r>
    </w:p>
    <w:p>
      <w:pPr>
        <w:jc w:val="both"/>
      </w:pPr>
      <w:r>
        <w:t>The useful core from the Gemini material is narrow:</w:t>
      </w:r>
    </w:p>
    <w:p>
      <w:pPr>
        <w:pStyle w:val="ListBullet"/>
      </w:pPr>
      <w:r>
        <w:t>replication matters,</w:t>
      </w:r>
    </w:p>
    <w:p>
      <w:pPr>
        <w:pStyle w:val="ListBullet"/>
      </w:pPr>
      <w:r>
        <w:t>blind tests matter,</w:t>
      </w:r>
    </w:p>
    <w:p>
      <w:pPr>
        <w:pStyle w:val="ListBullet"/>
      </w:pPr>
      <w:r>
        <w:t>baselines matter,</w:t>
      </w:r>
    </w:p>
    <w:p>
      <w:pPr>
        <w:pStyle w:val="ListBullet"/>
      </w:pPr>
      <w:r>
        <w:t>hardware and software evidence must stay separate.</w:t>
      </w:r>
    </w:p>
    <w:p>
      <w:pPr>
        <w:jc w:val="both"/>
      </w:pPr>
      <w:r>
        <w:t>Everything else should be demoted until the CSR law is actually derived and survives the reality suite.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STRICT AUDIT OF GEMINI CLAIMS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Strict Audit of Gemini Claims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